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b/>
          <w:bCs/>
          <w:color w:val="1F3A5F"/>
          <w:sz w:val="44"/>
          <w:szCs w:val="44"/>
        </w:rPr>
        <w:t xml:space="preserve">PRODUCT REQUIREMENTS DOCUMENT</w:t>
      </w:r>
    </w:p>
    <w:p>
      <w:pPr>
        <w:spacing w:after="100" w:before="200"/>
        <w:jc w:val="center"/>
      </w:pPr>
      <w:r>
        <w:rPr>
          <w:b/>
          <w:bCs/>
          <w:color w:val="9C7A2E"/>
          <w:sz w:val="32"/>
          <w:szCs w:val="32"/>
        </w:rPr>
        <w:t xml:space="preserve">EGX Compliance Intelligence Platform</w:t>
      </w:r>
    </w:p>
    <w:p>
      <w:pPr>
        <w:jc w:val="center"/>
      </w:pPr>
      <w:r>
        <w:rPr>
          <w:i/>
          <w:iCs/>
          <w:color w:val="595959"/>
          <w:sz w:val="22"/>
          <w:szCs w:val="22"/>
        </w:rPr>
        <w:t xml:space="preserve">A Secure, RAG-Based AI Advisory Layer for Listing Readiness, Governance and Disclosure Compliance</w:t>
      </w:r>
    </w:p>
    <w:p>
      <w:pPr>
        <w:spacing w:before="800"/>
        <w:jc w:val="center"/>
      </w:pPr>
      <w:r>
        <w:rPr>
          <w:sz w:val="21"/>
          <w:szCs w:val="21"/>
        </w:rPr>
        <w:t xml:space="preserve">Prepared for: Egyptian Exchange (EGX)</w:t>
      </w:r>
    </w:p>
    <w:p>
      <w:pPr>
        <w:jc w:val="center"/>
      </w:pPr>
      <w:r>
        <w:rPr>
          <w:sz w:val="21"/>
          <w:szCs w:val="21"/>
        </w:rPr>
        <w:t xml:space="preserve">In connection with: FRA National Initiative for Government Company Listing Readiness</w:t>
      </w:r>
    </w:p>
    <w:p>
      <w:pPr>
        <w:jc w:val="center"/>
      </w:pPr>
      <w:r>
        <w:rPr>
          <w:sz w:val="21"/>
          <w:szCs w:val="21"/>
        </w:rPr>
        <w:t xml:space="preserve">Prepared by: Corbia Innovation Hub</w:t>
      </w:r>
    </w:p>
    <w:p>
      <w:pPr>
        <w:jc w:val="center"/>
      </w:pPr>
      <w:r>
        <w:rPr>
          <w:sz w:val="21"/>
          <w:szCs w:val="21"/>
        </w:rPr>
        <w:t xml:space="preserve">Contact: Sadra Abdullah, Director, Corbia Innovation Hub</w:t>
      </w:r>
    </w:p>
    <w:p>
      <w:pPr>
        <w:spacing w:before="400"/>
        <w:jc w:val="center"/>
      </w:pPr>
      <w:r>
        <w:rPr>
          <w:color w:val="595959"/>
          <w:sz w:val="20"/>
          <w:szCs w:val="20"/>
        </w:rPr>
        <w:t xml:space="preserve">Version 1.0 (Draft for Discussion)  —  July 2026</w:t>
      </w:r>
    </w:p>
    <w:p>
      <w:r>
        <w:br w:type="page"/>
      </w:r>
    </w:p>
    <w:p>
      <w:pPr>
        <w:pStyle w:val="Heading1"/>
        <w:pBdr>
          <w:bottom w:val="single" w:color="1F3A5F" w:sz="6" w:space="4"/>
        </w:pBdr>
        <w:spacing w:after="200" w:before="400"/>
      </w:pPr>
      <w:r>
        <w:rPr>
          <w:b/>
          <w:bCs/>
          <w:color w:val="1F3A5F"/>
          <w:sz w:val="30"/>
          <w:szCs w:val="30"/>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1F3A5F" w:sz="6" w:space="4"/>
        </w:pBdr>
        <w:spacing w:after="200" w:before="400"/>
      </w:pPr>
      <w:r>
        <w:rPr>
          <w:b/>
          <w:bCs/>
          <w:color w:val="1F3A5F"/>
          <w:sz w:val="30"/>
          <w:szCs w:val="30"/>
        </w:rPr>
        <w:t xml:space="preserve">1. Document Control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2800"/>
            <w:shd w:fill="F2F2F2" w:val="clear"/>
            <w:tcMar>
              <w:top w:type="dxa" w:w="80"/>
              <w:left w:type="dxa" w:w="120"/>
              <w:bottom w:type="dxa" w:w="80"/>
              <w:right w:type="dxa" w:w="120"/>
            </w:tcMar>
            <w:vAlign w:val="center"/>
          </w:tcPr>
          <w:p>
            <w:r>
              <w:rPr>
                <w:b/>
                <w:bCs/>
                <w:color w:val="1F3A5F"/>
                <w:sz w:val="20"/>
                <w:szCs w:val="20"/>
              </w:rPr>
              <w:t xml:space="preserve">Document Title</w:t>
            </w:r>
          </w:p>
        </w:tc>
        <w:tc>
          <w:tcPr>
            <w:tcW w:type="dxa" w:w="6550"/>
            <w:tcMar>
              <w:top w:type="dxa" w:w="80"/>
              <w:left w:type="dxa" w:w="120"/>
              <w:bottom w:type="dxa" w:w="80"/>
              <w:right w:type="dxa" w:w="120"/>
            </w:tcMar>
            <w:vAlign w:val="center"/>
          </w:tcPr>
          <w:p>
            <w:r>
              <w:rPr>
                <w:b w:val="false"/>
                <w:bCs w:val="false"/>
                <w:color w:val="000000"/>
                <w:sz w:val="20"/>
                <w:szCs w:val="20"/>
              </w:rPr>
              <w:t xml:space="preserve">PRD — EGX Compliance Intelligence Platform</w:t>
            </w:r>
          </w:p>
        </w:tc>
      </w:tr>
      <w:tr>
        <w:tc>
          <w:tcPr>
            <w:tcW w:type="dxa" w:w="2800"/>
            <w:shd w:fill="F2F2F2" w:val="clear"/>
            <w:tcMar>
              <w:top w:type="dxa" w:w="80"/>
              <w:left w:type="dxa" w:w="120"/>
              <w:bottom w:type="dxa" w:w="80"/>
              <w:right w:type="dxa" w:w="120"/>
            </w:tcMar>
            <w:vAlign w:val="center"/>
          </w:tcPr>
          <w:p>
            <w:r>
              <w:rPr>
                <w:b/>
                <w:bCs/>
                <w:color w:val="1F3A5F"/>
                <w:sz w:val="20"/>
                <w:szCs w:val="20"/>
              </w:rPr>
              <w:t xml:space="preserve">Prepared For</w:t>
            </w:r>
          </w:p>
        </w:tc>
        <w:tc>
          <w:tcPr>
            <w:tcW w:type="dxa" w:w="6550"/>
            <w:tcMar>
              <w:top w:type="dxa" w:w="80"/>
              <w:left w:type="dxa" w:w="120"/>
              <w:bottom w:type="dxa" w:w="80"/>
              <w:right w:type="dxa" w:w="120"/>
            </w:tcMar>
            <w:vAlign w:val="center"/>
          </w:tcPr>
          <w:p>
            <w:r>
              <w:rPr>
                <w:b w:val="false"/>
                <w:bCs w:val="false"/>
                <w:color w:val="000000"/>
                <w:sz w:val="20"/>
                <w:szCs w:val="20"/>
              </w:rPr>
              <w:t xml:space="preserve">Egyptian Exchange (EGX)</w:t>
            </w:r>
          </w:p>
        </w:tc>
      </w:tr>
      <w:tr>
        <w:tc>
          <w:tcPr>
            <w:tcW w:type="dxa" w:w="2800"/>
            <w:shd w:fill="F2F2F2" w:val="clear"/>
            <w:tcMar>
              <w:top w:type="dxa" w:w="80"/>
              <w:left w:type="dxa" w:w="120"/>
              <w:bottom w:type="dxa" w:w="80"/>
              <w:right w:type="dxa" w:w="120"/>
            </w:tcMar>
            <w:vAlign w:val="center"/>
          </w:tcPr>
          <w:p>
            <w:r>
              <w:rPr>
                <w:b/>
                <w:bCs/>
                <w:color w:val="1F3A5F"/>
                <w:sz w:val="20"/>
                <w:szCs w:val="20"/>
              </w:rPr>
              <w:t xml:space="preserve">Prepared By</w:t>
            </w:r>
          </w:p>
        </w:tc>
        <w:tc>
          <w:tcPr>
            <w:tcW w:type="dxa" w:w="6550"/>
            <w:tcMar>
              <w:top w:type="dxa" w:w="80"/>
              <w:left w:type="dxa" w:w="120"/>
              <w:bottom w:type="dxa" w:w="80"/>
              <w:right w:type="dxa" w:w="120"/>
            </w:tcMar>
            <w:vAlign w:val="center"/>
          </w:tcPr>
          <w:p>
            <w:r>
              <w:rPr>
                <w:b w:val="false"/>
                <w:bCs w:val="false"/>
                <w:color w:val="000000"/>
                <w:sz w:val="20"/>
                <w:szCs w:val="20"/>
              </w:rPr>
              <w:t xml:space="preserve">Corbia Innovation Hub — Sadra Abdullah, Director</w:t>
            </w:r>
          </w:p>
        </w:tc>
      </w:tr>
      <w:tr>
        <w:tc>
          <w:tcPr>
            <w:tcW w:type="dxa" w:w="2800"/>
            <w:shd w:fill="F2F2F2" w:val="clear"/>
            <w:tcMar>
              <w:top w:type="dxa" w:w="80"/>
              <w:left w:type="dxa" w:w="120"/>
              <w:bottom w:type="dxa" w:w="80"/>
              <w:right w:type="dxa" w:w="120"/>
            </w:tcMar>
            <w:vAlign w:val="center"/>
          </w:tcPr>
          <w:p>
            <w:r>
              <w:rPr>
                <w:b/>
                <w:bCs/>
                <w:color w:val="1F3A5F"/>
                <w:sz w:val="20"/>
                <w:szCs w:val="20"/>
              </w:rPr>
              <w:t xml:space="preserve">Related Initiative</w:t>
            </w:r>
          </w:p>
        </w:tc>
        <w:tc>
          <w:tcPr>
            <w:tcW w:type="dxa" w:w="6550"/>
            <w:tcMar>
              <w:top w:type="dxa" w:w="80"/>
              <w:left w:type="dxa" w:w="120"/>
              <w:bottom w:type="dxa" w:w="80"/>
              <w:right w:type="dxa" w:w="120"/>
            </w:tcMar>
            <w:vAlign w:val="center"/>
          </w:tcPr>
          <w:p>
            <w:r>
              <w:rPr>
                <w:b w:val="false"/>
                <w:bCs w:val="false"/>
                <w:color w:val="000000"/>
                <w:sz w:val="20"/>
                <w:szCs w:val="20"/>
              </w:rPr>
              <w:t xml:space="preserve">FRA National Initiative for Government Company Listing Readiness (FSI / EIoD)</w:t>
            </w:r>
          </w:p>
        </w:tc>
      </w:tr>
      <w:tr>
        <w:tc>
          <w:tcPr>
            <w:tcW w:type="dxa" w:w="2800"/>
            <w:shd w:fill="F2F2F2" w:val="clear"/>
            <w:tcMar>
              <w:top w:type="dxa" w:w="80"/>
              <w:left w:type="dxa" w:w="120"/>
              <w:bottom w:type="dxa" w:w="80"/>
              <w:right w:type="dxa" w:w="120"/>
            </w:tcMar>
            <w:vAlign w:val="center"/>
          </w:tcPr>
          <w:p>
            <w:r>
              <w:rPr>
                <w:b/>
                <w:bCs/>
                <w:color w:val="1F3A5F"/>
                <w:sz w:val="20"/>
                <w:szCs w:val="20"/>
              </w:rPr>
              <w:t xml:space="preserve">Status</w:t>
            </w:r>
          </w:p>
        </w:tc>
        <w:tc>
          <w:tcPr>
            <w:tcW w:type="dxa" w:w="6550"/>
            <w:tcMar>
              <w:top w:type="dxa" w:w="80"/>
              <w:left w:type="dxa" w:w="120"/>
              <w:bottom w:type="dxa" w:w="80"/>
              <w:right w:type="dxa" w:w="120"/>
            </w:tcMar>
            <w:vAlign w:val="center"/>
          </w:tcPr>
          <w:p>
            <w:r>
              <w:rPr>
                <w:b w:val="false"/>
                <w:bCs w:val="false"/>
                <w:color w:val="000000"/>
                <w:sz w:val="20"/>
                <w:szCs w:val="20"/>
              </w:rPr>
              <w:t xml:space="preserve">Draft — For Discussion</w:t>
            </w:r>
          </w:p>
        </w:tc>
      </w:tr>
      <w:tr>
        <w:tc>
          <w:tcPr>
            <w:tcW w:type="dxa" w:w="2800"/>
            <w:shd w:fill="F2F2F2" w:val="clear"/>
            <w:tcMar>
              <w:top w:type="dxa" w:w="80"/>
              <w:left w:type="dxa" w:w="120"/>
              <w:bottom w:type="dxa" w:w="80"/>
              <w:right w:type="dxa" w:w="120"/>
            </w:tcMar>
            <w:vAlign w:val="center"/>
          </w:tcPr>
          <w:p>
            <w:r>
              <w:rPr>
                <w:b/>
                <w:bCs/>
                <w:color w:val="1F3A5F"/>
                <w:sz w:val="20"/>
                <w:szCs w:val="20"/>
              </w:rPr>
              <w:t xml:space="preserve">Version</w:t>
            </w:r>
          </w:p>
        </w:tc>
        <w:tc>
          <w:tcPr>
            <w:tcW w:type="dxa" w:w="6550"/>
            <w:tcMar>
              <w:top w:type="dxa" w:w="80"/>
              <w:left w:type="dxa" w:w="120"/>
              <w:bottom w:type="dxa" w:w="80"/>
              <w:right w:type="dxa" w:w="120"/>
            </w:tcMar>
            <w:vAlign w:val="center"/>
          </w:tcPr>
          <w:p>
            <w:r>
              <w:rPr>
                <w:b w:val="false"/>
                <w:bCs w:val="false"/>
                <w:color w:val="000000"/>
                <w:sz w:val="20"/>
                <w:szCs w:val="20"/>
              </w:rPr>
              <w:t xml:space="preserve">1.0</w:t>
            </w:r>
          </w:p>
        </w:tc>
      </w:tr>
      <w:tr>
        <w:tc>
          <w:tcPr>
            <w:tcW w:type="dxa" w:w="2800"/>
            <w:shd w:fill="F2F2F2" w:val="clear"/>
            <w:tcMar>
              <w:top w:type="dxa" w:w="80"/>
              <w:left w:type="dxa" w:w="120"/>
              <w:bottom w:type="dxa" w:w="80"/>
              <w:right w:type="dxa" w:w="120"/>
            </w:tcMar>
            <w:vAlign w:val="center"/>
          </w:tcPr>
          <w:p>
            <w:r>
              <w:rPr>
                <w:b/>
                <w:bCs/>
                <w:color w:val="1F3A5F"/>
                <w:sz w:val="20"/>
                <w:szCs w:val="20"/>
              </w:rPr>
              <w:t xml:space="preserve">Date</w:t>
            </w:r>
          </w:p>
        </w:tc>
        <w:tc>
          <w:tcPr>
            <w:tcW w:type="dxa" w:w="6550"/>
            <w:tcMar>
              <w:top w:type="dxa" w:w="80"/>
              <w:left w:type="dxa" w:w="120"/>
              <w:bottom w:type="dxa" w:w="80"/>
              <w:right w:type="dxa" w:w="120"/>
            </w:tcMar>
            <w:vAlign w:val="center"/>
          </w:tcPr>
          <w:p>
            <w:r>
              <w:rPr>
                <w:b w:val="false"/>
                <w:bCs w:val="false"/>
                <w:color w:val="000000"/>
                <w:sz w:val="20"/>
                <w:szCs w:val="20"/>
              </w:rPr>
              <w:t xml:space="preserve">July 2026</w:t>
            </w:r>
          </w:p>
        </w:tc>
      </w:tr>
    </w:tbl>
    <w:p>
      <w:r>
        <w:br w:type="page"/>
      </w:r>
    </w:p>
    <w:p>
      <w:pPr>
        <w:pStyle w:val="Heading1"/>
        <w:pBdr>
          <w:bottom w:val="single" w:color="1F3A5F" w:sz="6" w:space="4"/>
        </w:pBdr>
        <w:spacing w:after="200" w:before="400"/>
      </w:pPr>
      <w:r>
        <w:rPr>
          <w:b/>
          <w:bCs/>
          <w:color w:val="1F3A5F"/>
          <w:sz w:val="30"/>
          <w:szCs w:val="30"/>
        </w:rPr>
        <w:t xml:space="preserve">2. Executive Summary</w:t>
      </w:r>
    </w:p>
    <w:p>
      <w:pPr>
        <w:spacing w:after="160" w:line="276"/>
      </w:pPr>
      <w:r>
        <w:rPr>
          <w:sz w:val="21"/>
          <w:szCs w:val="21"/>
        </w:rPr>
        <w:t xml:space="preserve">The Financial Regulatory Authority (FRA) has launched a national initiative, delivered through its training arms — the Financial Services Institute (FSI) and the Egyptian Institute of Directors (EIoD) — to prepare state-owned companies for listing on the Egyptian Exchange (EGX), in line with the government's divestment programme and capital markets development strategy. An initial cohort of twenty (20) state-owned companies has been provisionally admitted and is undergoing capacity-building on governance, disclosure and listing requirements.</w:t>
      </w:r>
    </w:p>
    <w:p>
      <w:pPr>
        <w:spacing w:after="160" w:line="276"/>
      </w:pPr>
      <w:r>
        <w:rPr>
          <w:sz w:val="21"/>
          <w:szCs w:val="21"/>
        </w:rPr>
        <w:t xml:space="preserve">This document proposes an EGX Compliance Intelligence Platform: a secure, retrieval-augmented generation (RAG) AI system hosted on dedicated GPU infrastructure, built on EGX listing rules, FRA regulations and governance/disclosure standards, and made available as a conversational reference to companies preparing for listing, their board members and executives, and relevant EGX/FRA stakeholders.</w:t>
      </w:r>
    </w:p>
    <w:p>
      <w:pPr>
        <w:spacing w:after="160" w:line="276"/>
      </w:pPr>
      <w:r>
        <w:rPr>
          <w:sz w:val="21"/>
          <w:szCs w:val="21"/>
        </w:rPr>
        <w:t xml:space="preserve">The platform is designed to reduce the time compliance and executive teams spend interpreting listing and disclosure requirements, improve the accuracy and consistency of answers across all 20+ companies, and give each company a response tailored to its own documents and stage of readiness, while keeping every company's data isolated and secure.</w:t>
      </w:r>
    </w:p>
    <w:p>
      <w:pPr>
        <w:spacing w:after="160" w:line="276"/>
      </w:pPr>
      <w:r>
        <w:rPr>
          <w:sz w:val="21"/>
          <w:szCs w:val="21"/>
        </w:rPr>
        <w:t xml:space="preserve">This PRD defines the product's purpose, users, scope, functional and non-functional requirements, and architecture options. It is accompanied by a separate Business Case document covering strategic rationale, cost framework and implementation roadmap.</w:t>
      </w:r>
    </w:p>
    <w:p>
      <w:pPr>
        <w:pStyle w:val="Heading1"/>
        <w:pBdr>
          <w:bottom w:val="single" w:color="1F3A5F" w:sz="6" w:space="4"/>
        </w:pBdr>
        <w:spacing w:after="200" w:before="400"/>
      </w:pPr>
      <w:r>
        <w:rPr>
          <w:b/>
          <w:bCs/>
          <w:color w:val="1F3A5F"/>
          <w:sz w:val="30"/>
          <w:szCs w:val="30"/>
        </w:rPr>
        <w:t xml:space="preserve">3. Background and Context</w:t>
      </w:r>
    </w:p>
    <w:p>
      <w:pPr>
        <w:spacing w:after="160" w:line="276"/>
      </w:pPr>
      <w:r>
        <w:rPr>
          <w:sz w:val="21"/>
          <w:szCs w:val="21"/>
        </w:rPr>
        <w:t xml:space="preserve">The opening session of this initiative was addressed by senior decision-makers, reflecting its national priority:</w:t>
      </w:r>
    </w:p>
    <w:p>
      <w:pPr>
        <w:pStyle w:val="ListParagraph"/>
        <w:numPr>
          <w:ilvl w:val="0"/>
          <w:numId w:val="2"/>
        </w:numPr>
        <w:spacing w:after="80" w:line="260"/>
      </w:pPr>
      <w:r>
        <w:rPr>
          <w:sz w:val="21"/>
          <w:szCs w:val="21"/>
        </w:rPr>
        <w:t xml:space="preserve">H.E. Dr. Mohamed Farid — Minister of Investment and Foreign Trade</w:t>
      </w:r>
    </w:p>
    <w:p>
      <w:pPr>
        <w:pStyle w:val="ListParagraph"/>
        <w:numPr>
          <w:ilvl w:val="0"/>
          <w:numId w:val="2"/>
        </w:numPr>
        <w:spacing w:after="80" w:line="260"/>
      </w:pPr>
      <w:r>
        <w:rPr>
          <w:sz w:val="21"/>
          <w:szCs w:val="21"/>
        </w:rPr>
        <w:t xml:space="preserve">H.E. Dr. Islam Azzam — Chairman, Financial Regulatory Authority (FRA)</w:t>
      </w:r>
    </w:p>
    <w:p>
      <w:pPr>
        <w:pStyle w:val="ListParagraph"/>
        <w:numPr>
          <w:ilvl w:val="0"/>
          <w:numId w:val="2"/>
        </w:numPr>
        <w:spacing w:after="80" w:line="260"/>
      </w:pPr>
      <w:r>
        <w:rPr>
          <w:sz w:val="21"/>
          <w:szCs w:val="21"/>
        </w:rPr>
        <w:t xml:space="preserve">H.E. Dr. Hashem Elsayed — Assistant to the Prime Minister and CEO, State Ownership Policy (State-Owned Companies) Unit</w:t>
      </w:r>
    </w:p>
    <w:p>
      <w:pPr>
        <w:pStyle w:val="ListParagraph"/>
        <w:numPr>
          <w:ilvl w:val="0"/>
          <w:numId w:val="2"/>
        </w:numPr>
        <w:spacing w:after="80" w:line="260"/>
      </w:pPr>
      <w:r>
        <w:rPr>
          <w:sz w:val="21"/>
          <w:szCs w:val="21"/>
        </w:rPr>
        <w:t xml:space="preserve">Mr. Omar Radwan — Chairman, Egyptian Exchange (EGX)</w:t>
      </w:r>
    </w:p>
    <w:p>
      <w:pPr>
        <w:spacing w:after="160" w:line="276"/>
      </w:pPr>
      <w:r>
        <w:rPr>
          <w:sz w:val="21"/>
          <w:szCs w:val="21"/>
        </w:rPr>
        <w:t xml:space="preserve">The initiative responds to two converging drivers: (a) Egypt's IMF-linked commitment to reduce the state's footprint in the economy through divestment and listings, and (b) the State Ownership Policy Unit's role in nominating candidate companies and coordinating with the FRA and EGX on their readiness.</w:t>
      </w:r>
    </w:p>
    <w:p>
      <w:pPr>
        <w:spacing w:after="160" w:line="276"/>
      </w:pPr>
      <w:r>
        <w:rPr>
          <w:sz w:val="21"/>
          <w:szCs w:val="21"/>
        </w:rPr>
        <w:t xml:space="preserve">Nominated companies undergo a preparatory phase to build listing files and governance structures before trading begins. This preparatory phase — spanning legal, financial, disclosure and governance readiness — is precisely where a standardized, always-available AI reference layer creates the most value, by ensuring every company works from the same authoritative interpretation of the rules rather than ad hoc or inconsistent guidance.</w:t>
      </w:r>
    </w:p>
    <w:p>
      <w:pPr>
        <w:pStyle w:val="Heading1"/>
        <w:pBdr>
          <w:bottom w:val="single" w:color="1F3A5F" w:sz="6" w:space="4"/>
        </w:pBdr>
        <w:spacing w:after="200" w:before="400"/>
      </w:pPr>
      <w:r>
        <w:rPr>
          <w:b/>
          <w:bCs/>
          <w:color w:val="1F3A5F"/>
          <w:sz w:val="30"/>
          <w:szCs w:val="30"/>
        </w:rPr>
        <w:t xml:space="preserve">4. Problem Statement</w:t>
      </w:r>
    </w:p>
    <w:p>
      <w:pPr>
        <w:pStyle w:val="ListParagraph"/>
        <w:numPr>
          <w:ilvl w:val="0"/>
          <w:numId w:val="2"/>
        </w:numPr>
        <w:spacing w:after="80" w:line="260"/>
      </w:pPr>
      <w:r>
        <w:rPr>
          <w:sz w:val="21"/>
          <w:szCs w:val="21"/>
        </w:rPr>
        <w:t xml:space="preserve">Twenty or more government companies, most with limited prior exposure to public-market obligations, must simultaneously absorb EGX listing rules, disclosure obligations and governance standards.</w:t>
      </w:r>
    </w:p>
    <w:p>
      <w:pPr>
        <w:pStyle w:val="ListParagraph"/>
        <w:numPr>
          <w:ilvl w:val="0"/>
          <w:numId w:val="2"/>
        </w:numPr>
        <w:spacing w:after="80" w:line="260"/>
      </w:pPr>
      <w:r>
        <w:rPr>
          <w:sz w:val="21"/>
          <w:szCs w:val="21"/>
        </w:rPr>
        <w:t xml:space="preserve">Compliance knowledge today is delivered mainly through classroom-style training sessions and manual document review, which is slow to scale and inconsistent across companies.</w:t>
      </w:r>
    </w:p>
    <w:p>
      <w:pPr>
        <w:pStyle w:val="ListParagraph"/>
        <w:numPr>
          <w:ilvl w:val="0"/>
          <w:numId w:val="2"/>
        </w:numPr>
        <w:spacing w:after="80" w:line="260"/>
      </w:pPr>
      <w:r>
        <w:rPr>
          <w:sz w:val="21"/>
          <w:szCs w:val="21"/>
        </w:rPr>
        <w:t xml:space="preserve">Executives and compliance officers need fast, reliable answers to specific, technical questions (e.g. disclosure thresholds, board committee requirements) without waiting for a training session or a manual lookup.</w:t>
      </w:r>
    </w:p>
    <w:p>
      <w:pPr>
        <w:pStyle w:val="ListParagraph"/>
        <w:numPr>
          <w:ilvl w:val="0"/>
          <w:numId w:val="2"/>
        </w:numPr>
        <w:spacing w:after="80" w:line="260"/>
      </w:pPr>
      <w:r>
        <w:rPr>
          <w:sz w:val="21"/>
          <w:szCs w:val="21"/>
        </w:rPr>
        <w:t xml:space="preserve">EGX and FRA have no unified, centrally governed way to ensure every company receives the same accurate interpretation of the rules, tailored to that company's own documentation and readiness stage.</w:t>
      </w:r>
    </w:p>
    <w:p>
      <w:pPr>
        <w:pStyle w:val="Heading1"/>
        <w:pBdr>
          <w:bottom w:val="single" w:color="1F3A5F" w:sz="6" w:space="4"/>
        </w:pBdr>
        <w:spacing w:after="200" w:before="400"/>
      </w:pPr>
      <w:r>
        <w:rPr>
          <w:b/>
          <w:bCs/>
          <w:color w:val="1F3A5F"/>
          <w:sz w:val="30"/>
          <w:szCs w:val="30"/>
        </w:rPr>
        <w:t xml:space="preserve">5. Vision and Objectives</w:t>
      </w:r>
    </w:p>
    <w:p>
      <w:pPr>
        <w:pStyle w:val="Heading3"/>
        <w:spacing w:after="100" w:before="200"/>
      </w:pPr>
      <w:r>
        <w:rPr>
          <w:b/>
          <w:bCs/>
          <w:color w:val="9C7A2E"/>
          <w:sz w:val="22"/>
          <w:szCs w:val="22"/>
        </w:rPr>
        <w:t xml:space="preserve">Vision</w:t>
      </w:r>
    </w:p>
    <w:p>
      <w:pPr>
        <w:spacing w:after="160" w:line="276"/>
      </w:pPr>
      <w:r>
        <w:rPr>
          <w:sz w:val="21"/>
          <w:szCs w:val="21"/>
        </w:rPr>
        <w:t xml:space="preserve">A trusted, secure AI compliance companion — an “EGX-aware digital advisor” — that helps every company on the listing pathway understand and meet EGX and FRA requirements faster, more consistently, and with less manual effort.</w:t>
      </w:r>
    </w:p>
    <w:p>
      <w:pPr>
        <w:pStyle w:val="Heading3"/>
        <w:spacing w:after="100" w:before="200"/>
      </w:pPr>
      <w:r>
        <w:rPr>
          <w:b/>
          <w:bCs/>
          <w:color w:val="9C7A2E"/>
          <w:sz w:val="22"/>
          <w:szCs w:val="22"/>
        </w:rPr>
        <w:t xml:space="preserve">Objectives</w:t>
      </w:r>
    </w:p>
    <w:p>
      <w:pPr>
        <w:pStyle w:val="ListParagraph"/>
        <w:numPr>
          <w:ilvl w:val="0"/>
          <w:numId w:val="2"/>
        </w:numPr>
        <w:spacing w:after="80" w:line="260"/>
      </w:pPr>
      <w:r>
        <w:rPr>
          <w:sz w:val="21"/>
          <w:szCs w:val="21"/>
        </w:rPr>
        <w:t xml:space="preserve">Reduce the time compliance teams and executives spend researching listing, disclosure and governance requirements.</w:t>
      </w:r>
    </w:p>
    <w:p>
      <w:pPr>
        <w:pStyle w:val="ListParagraph"/>
        <w:numPr>
          <w:ilvl w:val="0"/>
          <w:numId w:val="2"/>
        </w:numPr>
        <w:spacing w:after="80" w:line="260"/>
      </w:pPr>
      <w:r>
        <w:rPr>
          <w:sz w:val="21"/>
          <w:szCs w:val="21"/>
        </w:rPr>
        <w:t xml:space="preserve">Standardize interpretation of EGX/FRA rules across all participating companies.</w:t>
      </w:r>
    </w:p>
    <w:p>
      <w:pPr>
        <w:pStyle w:val="ListParagraph"/>
        <w:numPr>
          <w:ilvl w:val="0"/>
          <w:numId w:val="2"/>
        </w:numPr>
        <w:spacing w:after="80" w:line="260"/>
      </w:pPr>
      <w:r>
        <w:rPr>
          <w:sz w:val="21"/>
          <w:szCs w:val="21"/>
        </w:rPr>
        <w:t xml:space="preserve">Provide answers personalized to each company's own documents, sector and stage of readiness.</w:t>
      </w:r>
    </w:p>
    <w:p>
      <w:pPr>
        <w:pStyle w:val="ListParagraph"/>
        <w:numPr>
          <w:ilvl w:val="0"/>
          <w:numId w:val="2"/>
        </w:numPr>
        <w:spacing w:after="80" w:line="260"/>
      </w:pPr>
      <w:r>
        <w:rPr>
          <w:sz w:val="21"/>
          <w:szCs w:val="21"/>
        </w:rPr>
        <w:t xml:space="preserve">Preserve strict data isolation and confidentiality between companies.</w:t>
      </w:r>
    </w:p>
    <w:p>
      <w:pPr>
        <w:pStyle w:val="ListParagraph"/>
        <w:numPr>
          <w:ilvl w:val="0"/>
          <w:numId w:val="2"/>
        </w:numPr>
        <w:spacing w:after="80" w:line="260"/>
      </w:pPr>
      <w:r>
        <w:rPr>
          <w:sz w:val="21"/>
          <w:szCs w:val="21"/>
        </w:rPr>
        <w:t xml:space="preserve">Create a reusable knowledge asset that EGX and FRA control and can extend over time.</w:t>
      </w:r>
    </w:p>
    <w:p>
      <w:pPr>
        <w:pStyle w:val="Heading1"/>
        <w:pBdr>
          <w:bottom w:val="single" w:color="1F3A5F" w:sz="6" w:space="4"/>
        </w:pBdr>
        <w:spacing w:after="200" w:before="400"/>
      </w:pPr>
      <w:r>
        <w:rPr>
          <w:b/>
          <w:bCs/>
          <w:color w:val="1F3A5F"/>
          <w:sz w:val="30"/>
          <w:szCs w:val="30"/>
        </w:rPr>
        <w:t xml:space="preserve">6. Target Users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000"/>
        <w:gridCol w:w="3200"/>
        <w:gridCol w:w="3150"/>
      </w:tblGrid>
      <w:tr>
        <w:trPr>
          <w:tblHeader/>
        </w:trPr>
        <w:tc>
          <w:tcPr>
            <w:tcW w:type="dxa" w:w="3000"/>
            <w:shd w:fill="1F3A5F" w:val="clear"/>
            <w:tcMar>
              <w:top w:type="dxa" w:w="80"/>
              <w:left w:type="dxa" w:w="120"/>
              <w:bottom w:type="dxa" w:w="80"/>
              <w:right w:type="dxa" w:w="120"/>
            </w:tcMar>
            <w:vAlign w:val="center"/>
          </w:tcPr>
          <w:p>
            <w:r>
              <w:rPr>
                <w:b/>
                <w:bCs/>
                <w:color w:val="FFFFFF"/>
                <w:sz w:val="20"/>
                <w:szCs w:val="20"/>
              </w:rPr>
              <w:t xml:space="preserve">User Group</w:t>
            </w:r>
          </w:p>
        </w:tc>
        <w:tc>
          <w:tcPr>
            <w:tcW w:type="dxa" w:w="3200"/>
            <w:shd w:fill="1F3A5F" w:val="clear"/>
            <w:tcMar>
              <w:top w:type="dxa" w:w="80"/>
              <w:left w:type="dxa" w:w="120"/>
              <w:bottom w:type="dxa" w:w="80"/>
              <w:right w:type="dxa" w:w="120"/>
            </w:tcMar>
            <w:vAlign w:val="center"/>
          </w:tcPr>
          <w:p>
            <w:r>
              <w:rPr>
                <w:b/>
                <w:bCs/>
                <w:color w:val="FFFFFF"/>
                <w:sz w:val="20"/>
                <w:szCs w:val="20"/>
              </w:rPr>
              <w:t xml:space="preserve">Primary Need</w:t>
            </w:r>
          </w:p>
        </w:tc>
        <w:tc>
          <w:tcPr>
            <w:tcW w:type="dxa" w:w="3150"/>
            <w:shd w:fill="1F3A5F" w:val="clear"/>
            <w:tcMar>
              <w:top w:type="dxa" w:w="80"/>
              <w:left w:type="dxa" w:w="120"/>
              <w:bottom w:type="dxa" w:w="80"/>
              <w:right w:type="dxa" w:w="120"/>
            </w:tcMar>
            <w:vAlign w:val="center"/>
          </w:tcPr>
          <w:p>
            <w:r>
              <w:rPr>
                <w:b/>
                <w:bCs/>
                <w:color w:val="FFFFFF"/>
                <w:sz w:val="20"/>
                <w:szCs w:val="20"/>
              </w:rPr>
              <w:t xml:space="preserve">Example Use</w:t>
            </w:r>
          </w:p>
        </w:tc>
      </w:tr>
      <w:tr>
        <w:tc>
          <w:tcPr>
            <w:tcW w:type="dxa" w:w="3000"/>
            <w:tcMar>
              <w:top w:type="dxa" w:w="80"/>
              <w:left w:type="dxa" w:w="120"/>
              <w:bottom w:type="dxa" w:w="80"/>
              <w:right w:type="dxa" w:w="120"/>
            </w:tcMar>
            <w:vAlign w:val="center"/>
          </w:tcPr>
          <w:p>
            <w:r>
              <w:rPr>
                <w:b w:val="false"/>
                <w:bCs w:val="false"/>
                <w:color w:val="000000"/>
                <w:sz w:val="20"/>
                <w:szCs w:val="20"/>
              </w:rPr>
              <w:t xml:space="preserve">Company compliance officers</w:t>
            </w:r>
          </w:p>
        </w:tc>
        <w:tc>
          <w:tcPr>
            <w:tcW w:type="dxa" w:w="3200"/>
            <w:tcMar>
              <w:top w:type="dxa" w:w="80"/>
              <w:left w:type="dxa" w:w="120"/>
              <w:bottom w:type="dxa" w:w="80"/>
              <w:right w:type="dxa" w:w="120"/>
            </w:tcMar>
            <w:vAlign w:val="center"/>
          </w:tcPr>
          <w:p>
            <w:r>
              <w:rPr>
                <w:b w:val="false"/>
                <w:bCs w:val="false"/>
                <w:color w:val="000000"/>
                <w:sz w:val="20"/>
                <w:szCs w:val="20"/>
              </w:rPr>
              <w:t xml:space="preserve">Fast, accurate answers on disclosure/listing rules</w:t>
            </w:r>
          </w:p>
        </w:tc>
        <w:tc>
          <w:tcPr>
            <w:tcW w:type="dxa" w:w="3150"/>
            <w:tcMar>
              <w:top w:type="dxa" w:w="80"/>
              <w:left w:type="dxa" w:w="120"/>
              <w:bottom w:type="dxa" w:w="80"/>
              <w:right w:type="dxa" w:w="120"/>
            </w:tcMar>
            <w:vAlign w:val="center"/>
          </w:tcPr>
          <w:p>
            <w:r>
              <w:rPr>
                <w:b w:val="false"/>
                <w:bCs w:val="false"/>
                <w:color w:val="000000"/>
                <w:sz w:val="20"/>
                <w:szCs w:val="20"/>
              </w:rPr>
              <w:t xml:space="preserve">“What are our quarterly disclosure obligations once listed?”</w:t>
            </w:r>
          </w:p>
        </w:tc>
      </w:tr>
      <w:tr>
        <w:tc>
          <w:tcPr>
            <w:tcW w:type="dxa" w:w="3000"/>
            <w:shd w:fill="F2F2F2" w:val="clear"/>
            <w:tcMar>
              <w:top w:type="dxa" w:w="80"/>
              <w:left w:type="dxa" w:w="120"/>
              <w:bottom w:type="dxa" w:w="80"/>
              <w:right w:type="dxa" w:w="120"/>
            </w:tcMar>
            <w:vAlign w:val="center"/>
          </w:tcPr>
          <w:p>
            <w:r>
              <w:rPr>
                <w:b w:val="false"/>
                <w:bCs w:val="false"/>
                <w:color w:val="000000"/>
                <w:sz w:val="20"/>
                <w:szCs w:val="20"/>
              </w:rPr>
              <w:t xml:space="preserve">Company executives / board members</w:t>
            </w:r>
          </w:p>
        </w:tc>
        <w:tc>
          <w:tcPr>
            <w:tcW w:type="dxa" w:w="3200"/>
            <w:shd w:fill="F2F2F2" w:val="clear"/>
            <w:tcMar>
              <w:top w:type="dxa" w:w="80"/>
              <w:left w:type="dxa" w:w="120"/>
              <w:bottom w:type="dxa" w:w="80"/>
              <w:right w:type="dxa" w:w="120"/>
            </w:tcMar>
            <w:vAlign w:val="center"/>
          </w:tcPr>
          <w:p>
            <w:r>
              <w:rPr>
                <w:b w:val="false"/>
                <w:bCs w:val="false"/>
                <w:color w:val="000000"/>
                <w:sz w:val="20"/>
                <w:szCs w:val="20"/>
              </w:rPr>
              <w:t xml:space="preserve">Strategic and tactical understanding of governance duties</w:t>
            </w:r>
          </w:p>
        </w:tc>
        <w:tc>
          <w:tcPr>
            <w:tcW w:type="dxa" w:w="3150"/>
            <w:shd w:fill="F2F2F2" w:val="clear"/>
            <w:tcMar>
              <w:top w:type="dxa" w:w="80"/>
              <w:left w:type="dxa" w:w="120"/>
              <w:bottom w:type="dxa" w:w="80"/>
              <w:right w:type="dxa" w:w="120"/>
            </w:tcMar>
            <w:vAlign w:val="center"/>
          </w:tcPr>
          <w:p>
            <w:r>
              <w:rPr>
                <w:b w:val="false"/>
                <w:bCs w:val="false"/>
                <w:color w:val="000000"/>
                <w:sz w:val="20"/>
                <w:szCs w:val="20"/>
              </w:rPr>
              <w:t xml:space="preserve">“What governance changes does our board need before listing?”</w:t>
            </w:r>
          </w:p>
        </w:tc>
      </w:tr>
      <w:tr>
        <w:tc>
          <w:tcPr>
            <w:tcW w:type="dxa" w:w="3000"/>
            <w:tcMar>
              <w:top w:type="dxa" w:w="80"/>
              <w:left w:type="dxa" w:w="120"/>
              <w:bottom w:type="dxa" w:w="80"/>
              <w:right w:type="dxa" w:w="120"/>
            </w:tcMar>
            <w:vAlign w:val="center"/>
          </w:tcPr>
          <w:p>
            <w:r>
              <w:rPr>
                <w:b w:val="false"/>
                <w:bCs w:val="false"/>
                <w:color w:val="000000"/>
                <w:sz w:val="20"/>
                <w:szCs w:val="20"/>
              </w:rPr>
              <w:t xml:space="preserve">EGX listing and compliance staff</w:t>
            </w:r>
          </w:p>
        </w:tc>
        <w:tc>
          <w:tcPr>
            <w:tcW w:type="dxa" w:w="3200"/>
            <w:tcMar>
              <w:top w:type="dxa" w:w="80"/>
              <w:left w:type="dxa" w:w="120"/>
              <w:bottom w:type="dxa" w:w="80"/>
              <w:right w:type="dxa" w:w="120"/>
            </w:tcMar>
            <w:vAlign w:val="center"/>
          </w:tcPr>
          <w:p>
            <w:r>
              <w:rPr>
                <w:b w:val="false"/>
                <w:bCs w:val="false"/>
                <w:color w:val="000000"/>
                <w:sz w:val="20"/>
                <w:szCs w:val="20"/>
              </w:rPr>
              <w:t xml:space="preserve">Consistent, monitorable guidance across all cohort companies</w:t>
            </w:r>
          </w:p>
        </w:tc>
        <w:tc>
          <w:tcPr>
            <w:tcW w:type="dxa" w:w="3150"/>
            <w:tcMar>
              <w:top w:type="dxa" w:w="80"/>
              <w:left w:type="dxa" w:w="120"/>
              <w:bottom w:type="dxa" w:w="80"/>
              <w:right w:type="dxa" w:w="120"/>
            </w:tcMar>
            <w:vAlign w:val="center"/>
          </w:tcPr>
          <w:p>
            <w:r>
              <w:rPr>
                <w:b w:val="false"/>
                <w:bCs w:val="false"/>
                <w:color w:val="000000"/>
                <w:sz w:val="20"/>
                <w:szCs w:val="20"/>
              </w:rPr>
              <w:t xml:space="preserve">Tracking common questions/gaps across the cohort</w:t>
            </w:r>
          </w:p>
        </w:tc>
      </w:tr>
      <w:tr>
        <w:tc>
          <w:tcPr>
            <w:tcW w:type="dxa" w:w="3000"/>
            <w:shd w:fill="F2F2F2" w:val="clear"/>
            <w:tcMar>
              <w:top w:type="dxa" w:w="80"/>
              <w:left w:type="dxa" w:w="120"/>
              <w:bottom w:type="dxa" w:w="80"/>
              <w:right w:type="dxa" w:w="120"/>
            </w:tcMar>
            <w:vAlign w:val="center"/>
          </w:tcPr>
          <w:p>
            <w:r>
              <w:rPr>
                <w:b w:val="false"/>
                <w:bCs w:val="false"/>
                <w:color w:val="000000"/>
                <w:sz w:val="20"/>
                <w:szCs w:val="20"/>
              </w:rPr>
              <w:t xml:space="preserve">FRA / State Ownership Policy Unit</w:t>
            </w:r>
          </w:p>
        </w:tc>
        <w:tc>
          <w:tcPr>
            <w:tcW w:type="dxa" w:w="3200"/>
            <w:shd w:fill="F2F2F2" w:val="clear"/>
            <w:tcMar>
              <w:top w:type="dxa" w:w="80"/>
              <w:left w:type="dxa" w:w="120"/>
              <w:bottom w:type="dxa" w:w="80"/>
              <w:right w:type="dxa" w:w="120"/>
            </w:tcMar>
            <w:vAlign w:val="center"/>
          </w:tcPr>
          <w:p>
            <w:r>
              <w:rPr>
                <w:b w:val="false"/>
                <w:bCs w:val="false"/>
                <w:color w:val="000000"/>
                <w:sz w:val="20"/>
                <w:szCs w:val="20"/>
              </w:rPr>
              <w:t xml:space="preserve">Visibility into readiness progress across companies</w:t>
            </w:r>
          </w:p>
        </w:tc>
        <w:tc>
          <w:tcPr>
            <w:tcW w:type="dxa" w:w="3150"/>
            <w:shd w:fill="F2F2F2" w:val="clear"/>
            <w:tcMar>
              <w:top w:type="dxa" w:w="80"/>
              <w:left w:type="dxa" w:w="120"/>
              <w:bottom w:type="dxa" w:w="80"/>
              <w:right w:type="dxa" w:w="120"/>
            </w:tcMar>
            <w:vAlign w:val="center"/>
          </w:tcPr>
          <w:p>
            <w:r>
              <w:rPr>
                <w:b w:val="false"/>
                <w:bCs w:val="false"/>
                <w:color w:val="000000"/>
                <w:sz w:val="20"/>
                <w:szCs w:val="20"/>
              </w:rPr>
              <w:t xml:space="preserve">Aggregate (anonymized) reporting on knowledge gaps</w:t>
            </w:r>
          </w:p>
        </w:tc>
      </w:tr>
      <w:tr>
        <w:tc>
          <w:tcPr>
            <w:tcW w:type="dxa" w:w="3000"/>
            <w:tcMar>
              <w:top w:type="dxa" w:w="80"/>
              <w:left w:type="dxa" w:w="120"/>
              <w:bottom w:type="dxa" w:w="80"/>
              <w:right w:type="dxa" w:w="120"/>
            </w:tcMar>
            <w:vAlign w:val="center"/>
          </w:tcPr>
          <w:p>
            <w:r>
              <w:rPr>
                <w:b w:val="false"/>
                <w:bCs w:val="false"/>
                <w:color w:val="000000"/>
                <w:sz w:val="20"/>
                <w:szCs w:val="20"/>
              </w:rPr>
              <w:t xml:space="preserve">FSI / EIoD trainers</w:t>
            </w:r>
          </w:p>
        </w:tc>
        <w:tc>
          <w:tcPr>
            <w:tcW w:type="dxa" w:w="3200"/>
            <w:tcMar>
              <w:top w:type="dxa" w:w="80"/>
              <w:left w:type="dxa" w:w="120"/>
              <w:bottom w:type="dxa" w:w="80"/>
              <w:right w:type="dxa" w:w="120"/>
            </w:tcMar>
            <w:vAlign w:val="center"/>
          </w:tcPr>
          <w:p>
            <w:r>
              <w:rPr>
                <w:b w:val="false"/>
                <w:bCs w:val="false"/>
                <w:color w:val="000000"/>
                <w:sz w:val="20"/>
                <w:szCs w:val="20"/>
              </w:rPr>
              <w:t xml:space="preserve">Reinforcement tool between training sessions</w:t>
            </w:r>
          </w:p>
        </w:tc>
        <w:tc>
          <w:tcPr>
            <w:tcW w:type="dxa" w:w="3150"/>
            <w:tcMar>
              <w:top w:type="dxa" w:w="80"/>
              <w:left w:type="dxa" w:w="120"/>
              <w:bottom w:type="dxa" w:w="80"/>
              <w:right w:type="dxa" w:w="120"/>
            </w:tcMar>
            <w:vAlign w:val="center"/>
          </w:tcPr>
          <w:p>
            <w:r>
              <w:rPr>
                <w:b w:val="false"/>
                <w:bCs w:val="false"/>
                <w:color w:val="000000"/>
                <w:sz w:val="20"/>
                <w:szCs w:val="20"/>
              </w:rPr>
              <w:t xml:space="preserve">Directing trainees to the assistant for follow-up questions</w:t>
            </w:r>
          </w:p>
        </w:tc>
      </w:tr>
    </w:tbl>
    <w:p>
      <w:pPr>
        <w:pStyle w:val="Heading1"/>
        <w:pBdr>
          <w:bottom w:val="single" w:color="1F3A5F" w:sz="6" w:space="4"/>
        </w:pBdr>
        <w:spacing w:after="200" w:before="400"/>
      </w:pPr>
      <w:r>
        <w:rPr>
          <w:b/>
          <w:bCs/>
          <w:color w:val="1F3A5F"/>
          <w:sz w:val="30"/>
          <w:szCs w:val="30"/>
        </w:rPr>
        <w:t xml:space="preserve">7. Scope</w:t>
      </w:r>
    </w:p>
    <w:p>
      <w:pPr>
        <w:pStyle w:val="Heading2"/>
        <w:spacing w:after="140" w:before="280"/>
      </w:pPr>
      <w:r>
        <w:rPr>
          <w:b/>
          <w:bCs/>
          <w:color w:val="1F3A5F"/>
          <w:sz w:val="24"/>
          <w:szCs w:val="24"/>
        </w:rPr>
        <w:t xml:space="preserve">7.1 In Scope (Phase 1)</w:t>
      </w:r>
    </w:p>
    <w:p>
      <w:pPr>
        <w:pStyle w:val="ListParagraph"/>
        <w:numPr>
          <w:ilvl w:val="0"/>
          <w:numId w:val="2"/>
        </w:numPr>
        <w:spacing w:after="80" w:line="260"/>
      </w:pPr>
      <w:r>
        <w:rPr>
          <w:sz w:val="21"/>
          <w:szCs w:val="21"/>
        </w:rPr>
        <w:t xml:space="preserve">Conversational (chat) assistant answering questions on EGX listing rules, disclosure requirements and governance standards.</w:t>
      </w:r>
    </w:p>
    <w:p>
      <w:pPr>
        <w:pStyle w:val="ListParagraph"/>
        <w:numPr>
          <w:ilvl w:val="0"/>
          <w:numId w:val="2"/>
        </w:numPr>
        <w:spacing w:after="80" w:line="260"/>
      </w:pPr>
      <w:r>
        <w:rPr>
          <w:sz w:val="21"/>
          <w:szCs w:val="21"/>
        </w:rPr>
        <w:t xml:space="preserve">Ingestion of EGX/FRA public regulatory documents, listing rules, disclosure codes and governance guidelines as the shared knowledge base.</w:t>
      </w:r>
    </w:p>
    <w:p>
      <w:pPr>
        <w:pStyle w:val="ListParagraph"/>
        <w:numPr>
          <w:ilvl w:val="0"/>
          <w:numId w:val="2"/>
        </w:numPr>
        <w:spacing w:after="80" w:line="260"/>
      </w:pPr>
      <w:r>
        <w:rPr>
          <w:sz w:val="21"/>
          <w:szCs w:val="21"/>
        </w:rPr>
        <w:t xml:space="preserve">Per-company private document space (e.g. a company's own governance file, draft prospectus, board charter) that personalizes answers without exposing that company's data to others.</w:t>
      </w:r>
    </w:p>
    <w:p>
      <w:pPr>
        <w:pStyle w:val="ListParagraph"/>
        <w:numPr>
          <w:ilvl w:val="0"/>
          <w:numId w:val="2"/>
        </w:numPr>
        <w:spacing w:after="80" w:line="260"/>
      </w:pPr>
      <w:r>
        <w:rPr>
          <w:sz w:val="21"/>
          <w:szCs w:val="21"/>
        </w:rPr>
        <w:t xml:space="preserve">Role-based access control (company users see only their own company's private data plus the shared regulatory knowledge base).</w:t>
      </w:r>
    </w:p>
    <w:p>
      <w:pPr>
        <w:pStyle w:val="ListParagraph"/>
        <w:numPr>
          <w:ilvl w:val="0"/>
          <w:numId w:val="2"/>
        </w:numPr>
        <w:spacing w:after="80" w:line="260"/>
      </w:pPr>
      <w:r>
        <w:rPr>
          <w:sz w:val="21"/>
          <w:szCs w:val="21"/>
        </w:rPr>
        <w:t xml:space="preserve">Usage analytics and aggregated (anonymized) reporting for EGX/FRA on common questions and knowledge gaps.</w:t>
      </w:r>
    </w:p>
    <w:p>
      <w:pPr>
        <w:pStyle w:val="Heading2"/>
        <w:spacing w:after="140" w:before="280"/>
      </w:pPr>
      <w:r>
        <w:rPr>
          <w:b/>
          <w:bCs/>
          <w:color w:val="1F3A5F"/>
          <w:sz w:val="24"/>
          <w:szCs w:val="24"/>
        </w:rPr>
        <w:t xml:space="preserve">7.2 Out of Scope (Phase 1)</w:t>
      </w:r>
    </w:p>
    <w:p>
      <w:pPr>
        <w:pStyle w:val="ListParagraph"/>
        <w:numPr>
          <w:ilvl w:val="0"/>
          <w:numId w:val="2"/>
        </w:numPr>
        <w:spacing w:after="80" w:line="260"/>
      </w:pPr>
      <w:r>
        <w:rPr>
          <w:sz w:val="21"/>
          <w:szCs w:val="21"/>
        </w:rPr>
        <w:t xml:space="preserve">Automated legal or investment advice, or any output presented as a substitute for formal FRA/EGX approval.</w:t>
      </w:r>
    </w:p>
    <w:p>
      <w:pPr>
        <w:pStyle w:val="ListParagraph"/>
        <w:numPr>
          <w:ilvl w:val="0"/>
          <w:numId w:val="2"/>
        </w:numPr>
        <w:spacing w:after="80" w:line="260"/>
      </w:pPr>
      <w:r>
        <w:rPr>
          <w:sz w:val="21"/>
          <w:szCs w:val="21"/>
        </w:rPr>
        <w:t xml:space="preserve">Direct integration with EGX trading or settlement systems.</w:t>
      </w:r>
    </w:p>
    <w:p>
      <w:pPr>
        <w:pStyle w:val="ListParagraph"/>
        <w:numPr>
          <w:ilvl w:val="0"/>
          <w:numId w:val="2"/>
        </w:numPr>
        <w:spacing w:after="80" w:line="260"/>
      </w:pPr>
      <w:r>
        <w:rPr>
          <w:sz w:val="21"/>
          <w:szCs w:val="21"/>
        </w:rPr>
        <w:t xml:space="preserve">Public/retail investor-facing access (Phase 1 is limited to cohort companies and regulators).</w:t>
      </w:r>
    </w:p>
    <w:p>
      <w:pPr>
        <w:pStyle w:val="Heading1"/>
        <w:pBdr>
          <w:bottom w:val="single" w:color="1F3A5F" w:sz="6" w:space="4"/>
        </w:pBdr>
        <w:spacing w:after="200" w:before="400"/>
      </w:pPr>
      <w:r>
        <w:rPr>
          <w:b/>
          <w:bCs/>
          <w:color w:val="1F3A5F"/>
          <w:sz w:val="30"/>
          <w:szCs w:val="30"/>
        </w:rPr>
        <w:t xml:space="preserve">8. Proposed Solution Overview</w:t>
      </w:r>
    </w:p>
    <w:p>
      <w:pPr>
        <w:spacing w:after="160" w:line="276"/>
      </w:pPr>
      <w:r>
        <w:rPr>
          <w:sz w:val="21"/>
          <w:szCs w:val="21"/>
        </w:rPr>
        <w:t xml:space="preserve">The platform is a Retrieval-Augmented Generation (RAG) system: a large language model that answers strictly from a curated, access-controlled knowledge base rather than open internet content. Two architecture options were evaluated:</w:t>
      </w:r>
    </w:p>
    <w:p>
      <w:pPr>
        <w:pStyle w:val="Heading2"/>
        <w:spacing w:after="140" w:before="280"/>
      </w:pPr>
      <w:r>
        <w:rPr>
          <w:b/>
          <w:bCs/>
          <w:color w:val="1F3A5F"/>
          <w:sz w:val="24"/>
          <w:szCs w:val="24"/>
        </w:rPr>
        <w:t xml:space="preserve">Option A — Centralized Hub (Recommended Phase 1)</w:t>
      </w:r>
    </w:p>
    <w:p>
      <w:pPr>
        <w:spacing w:after="160" w:line="276"/>
      </w:pPr>
      <w:r>
        <w:rPr>
          <w:sz w:val="21"/>
          <w:szCs w:val="21"/>
        </w:rPr>
        <w:t xml:space="preserve">A single, EGX/FRA-governed RAG instance holds the shared regulatory knowledge base and gives every company its own private, isolated workspace for company-specific documents within the same platform. All 20+ companies use one system, with strict logical separation of private data.</w:t>
      </w:r>
    </w:p>
    <w:p>
      <w:pPr>
        <w:pStyle w:val="ListParagraph"/>
        <w:numPr>
          <w:ilvl w:val="0"/>
          <w:numId w:val="2"/>
        </w:numPr>
        <w:spacing w:after="80" w:line="260"/>
      </w:pPr>
      <w:r>
        <w:rPr>
          <w:sz w:val="21"/>
          <w:szCs w:val="21"/>
        </w:rPr>
        <w:t xml:space="preserve">Faster to deploy; one knowledge base to keep current with rule changes.</w:t>
      </w:r>
    </w:p>
    <w:p>
      <w:pPr>
        <w:pStyle w:val="ListParagraph"/>
        <w:numPr>
          <w:ilvl w:val="0"/>
          <w:numId w:val="2"/>
        </w:numPr>
        <w:spacing w:after="80" w:line="260"/>
      </w:pPr>
      <w:r>
        <w:rPr>
          <w:sz w:val="21"/>
          <w:szCs w:val="21"/>
        </w:rPr>
        <w:t xml:space="preserve">Lower infrastructure cost; single point of governance and monitoring for EGX/FRA.</w:t>
      </w:r>
    </w:p>
    <w:p>
      <w:pPr>
        <w:pStyle w:val="ListParagraph"/>
        <w:numPr>
          <w:ilvl w:val="0"/>
          <w:numId w:val="2"/>
        </w:numPr>
        <w:spacing w:after="80" w:line="260"/>
      </w:pPr>
      <w:r>
        <w:rPr>
          <w:sz w:val="21"/>
          <w:szCs w:val="21"/>
        </w:rPr>
        <w:t xml:space="preserve">Consistent answers across all companies by construction.</w:t>
      </w:r>
    </w:p>
    <w:p>
      <w:pPr>
        <w:pStyle w:val="Heading2"/>
        <w:spacing w:after="140" w:before="280"/>
      </w:pPr>
      <w:r>
        <w:rPr>
          <w:b/>
          <w:bCs/>
          <w:color w:val="1F3A5F"/>
          <w:sz w:val="24"/>
          <w:szCs w:val="24"/>
        </w:rPr>
        <w:t xml:space="preserve">Option B — Per-Company Instances</w:t>
      </w:r>
    </w:p>
    <w:p>
      <w:pPr>
        <w:spacing w:after="160" w:line="276"/>
      </w:pPr>
      <w:r>
        <w:rPr>
          <w:sz w:val="21"/>
          <w:szCs w:val="21"/>
        </w:rPr>
        <w:t xml:space="preserve">A dedicated instance is deployed for each company, each with its own isolated infrastructure and knowledge base copy.</w:t>
      </w:r>
    </w:p>
    <w:p>
      <w:pPr>
        <w:pStyle w:val="ListParagraph"/>
        <w:numPr>
          <w:ilvl w:val="0"/>
          <w:numId w:val="2"/>
        </w:numPr>
        <w:spacing w:after="80" w:line="260"/>
      </w:pPr>
      <w:r>
        <w:rPr>
          <w:sz w:val="21"/>
          <w:szCs w:val="21"/>
        </w:rPr>
        <w:t xml:space="preserve">Maximum data isolation and customization per company.</w:t>
      </w:r>
    </w:p>
    <w:p>
      <w:pPr>
        <w:pStyle w:val="ListParagraph"/>
        <w:numPr>
          <w:ilvl w:val="0"/>
          <w:numId w:val="2"/>
        </w:numPr>
        <w:spacing w:after="80" w:line="260"/>
      </w:pPr>
      <w:r>
        <w:rPr>
          <w:sz w:val="21"/>
          <w:szCs w:val="21"/>
        </w:rPr>
        <w:t xml:space="preserve">Higher infrastructure and maintenance cost; harder to keep 20+ knowledge bases synchronized with rule updates.</w:t>
      </w:r>
    </w:p>
    <w:p>
      <w:pPr>
        <w:pStyle w:val="Heading2"/>
        <w:spacing w:after="140" w:before="280"/>
      </w:pPr>
      <w:r>
        <w:rPr>
          <w:b/>
          <w:bCs/>
          <w:color w:val="1F3A5F"/>
          <w:sz w:val="24"/>
          <w:szCs w:val="24"/>
        </w:rPr>
        <w:t xml:space="preserve">Recommendation</w:t>
      </w:r>
    </w:p>
    <w:p>
      <w:pPr>
        <w:spacing w:after="160" w:line="276"/>
      </w:pPr>
      <w:r>
        <w:rPr>
          <w:sz w:val="21"/>
          <w:szCs w:val="21"/>
        </w:rPr>
        <w:t xml:space="preserve">Launch with Option A (Centralized Hub) as Phase 1 to prove value quickly and cost-effectively, with an architecture that supports migrating specific companies to dedicated instances (Option B) in a later phase if a company's regulatory sensitivity or scale requires it. Full detail in the accompanying Business Case.</w:t>
      </w:r>
    </w:p>
    <w:p>
      <w:pPr>
        <w:pStyle w:val="Heading1"/>
        <w:pBdr>
          <w:bottom w:val="single" w:color="1F3A5F" w:sz="6" w:space="4"/>
        </w:pBdr>
        <w:spacing w:after="200" w:before="400"/>
      </w:pPr>
      <w:r>
        <w:rPr>
          <w:b/>
          <w:bCs/>
          <w:color w:val="1F3A5F"/>
          <w:sz w:val="30"/>
          <w:szCs w:val="30"/>
        </w:rPr>
        <w:t xml:space="preserve">9. Functional Requirements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00"/>
        <w:gridCol w:w="6900"/>
        <w:gridCol w:w="1550"/>
      </w:tblGrid>
      <w:tr>
        <w:trPr>
          <w:tblHeader/>
        </w:trPr>
        <w:tc>
          <w:tcPr>
            <w:tcW w:type="dxa" w:w="900"/>
            <w:shd w:fill="1F3A5F" w:val="clear"/>
            <w:tcMar>
              <w:top w:type="dxa" w:w="80"/>
              <w:left w:type="dxa" w:w="120"/>
              <w:bottom w:type="dxa" w:w="80"/>
              <w:right w:type="dxa" w:w="120"/>
            </w:tcMar>
            <w:vAlign w:val="center"/>
          </w:tcPr>
          <w:p>
            <w:r>
              <w:rPr>
                <w:b/>
                <w:bCs/>
                <w:color w:val="FFFFFF"/>
                <w:sz w:val="20"/>
                <w:szCs w:val="20"/>
              </w:rPr>
              <w:t xml:space="preserve">ID</w:t>
            </w:r>
          </w:p>
        </w:tc>
        <w:tc>
          <w:tcPr>
            <w:tcW w:type="dxa" w:w="6900"/>
            <w:shd w:fill="1F3A5F" w:val="clear"/>
            <w:tcMar>
              <w:top w:type="dxa" w:w="80"/>
              <w:left w:type="dxa" w:w="120"/>
              <w:bottom w:type="dxa" w:w="80"/>
              <w:right w:type="dxa" w:w="120"/>
            </w:tcMar>
            <w:vAlign w:val="center"/>
          </w:tcPr>
          <w:p>
            <w:r>
              <w:rPr>
                <w:b/>
                <w:bCs/>
                <w:color w:val="FFFFFF"/>
                <w:sz w:val="20"/>
                <w:szCs w:val="20"/>
              </w:rPr>
              <w:t xml:space="preserve">Requirement</w:t>
            </w:r>
          </w:p>
        </w:tc>
        <w:tc>
          <w:tcPr>
            <w:tcW w:type="dxa" w:w="1550"/>
            <w:shd w:fill="1F3A5F" w:val="clear"/>
            <w:tcMar>
              <w:top w:type="dxa" w:w="80"/>
              <w:left w:type="dxa" w:w="120"/>
              <w:bottom w:type="dxa" w:w="80"/>
              <w:right w:type="dxa" w:w="120"/>
            </w:tcMar>
            <w:vAlign w:val="center"/>
          </w:tcPr>
          <w:p>
            <w:r>
              <w:rPr>
                <w:b/>
                <w:bCs/>
                <w:color w:val="FFFFFF"/>
                <w:sz w:val="20"/>
                <w:szCs w:val="20"/>
              </w:rPr>
              <w:t xml:space="preserve">Priority</w:t>
            </w:r>
          </w:p>
        </w:tc>
      </w:tr>
      <w:tr>
        <w:tc>
          <w:tcPr>
            <w:tcW w:type="dxa" w:w="900"/>
            <w:tcMar>
              <w:top w:type="dxa" w:w="80"/>
              <w:left w:type="dxa" w:w="120"/>
              <w:bottom w:type="dxa" w:w="80"/>
              <w:right w:type="dxa" w:w="120"/>
            </w:tcMar>
            <w:vAlign w:val="center"/>
          </w:tcPr>
          <w:p>
            <w:r>
              <w:rPr>
                <w:b w:val="false"/>
                <w:bCs w:val="false"/>
                <w:color w:val="000000"/>
                <w:sz w:val="20"/>
                <w:szCs w:val="20"/>
              </w:rPr>
              <w:t xml:space="preserve">FR-1</w:t>
            </w:r>
          </w:p>
        </w:tc>
        <w:tc>
          <w:tcPr>
            <w:tcW w:type="dxa" w:w="6900"/>
            <w:tcMar>
              <w:top w:type="dxa" w:w="80"/>
              <w:left w:type="dxa" w:w="120"/>
              <w:bottom w:type="dxa" w:w="80"/>
              <w:right w:type="dxa" w:w="120"/>
            </w:tcMar>
            <w:vAlign w:val="center"/>
          </w:tcPr>
          <w:p>
            <w:r>
              <w:rPr>
                <w:b w:val="false"/>
                <w:bCs w:val="false"/>
                <w:color w:val="000000"/>
                <w:sz w:val="20"/>
                <w:szCs w:val="20"/>
              </w:rPr>
              <w:t xml:space="preserve">Users can ask natural-language questions and receive answers grounded in EGX/FRA source documents, with citations to the source rule or clause.</w:t>
            </w:r>
          </w:p>
        </w:tc>
        <w:tc>
          <w:tcPr>
            <w:tcW w:type="dxa" w:w="1550"/>
            <w:tcMar>
              <w:top w:type="dxa" w:w="80"/>
              <w:left w:type="dxa" w:w="120"/>
              <w:bottom w:type="dxa" w:w="80"/>
              <w:right w:type="dxa" w:w="120"/>
            </w:tcMar>
            <w:vAlign w:val="center"/>
          </w:tcPr>
          <w:p>
            <w:r>
              <w:rPr>
                <w:b w:val="false"/>
                <w:bCs w:val="false"/>
                <w:color w:val="000000"/>
                <w:sz w:val="20"/>
                <w:szCs w:val="20"/>
              </w:rPr>
              <w:t xml:space="preserve">Must</w:t>
            </w:r>
          </w:p>
        </w:tc>
      </w:tr>
      <w:tr>
        <w:tc>
          <w:tcPr>
            <w:tcW w:type="dxa" w:w="900"/>
            <w:shd w:fill="F2F2F2" w:val="clear"/>
            <w:tcMar>
              <w:top w:type="dxa" w:w="80"/>
              <w:left w:type="dxa" w:w="120"/>
              <w:bottom w:type="dxa" w:w="80"/>
              <w:right w:type="dxa" w:w="120"/>
            </w:tcMar>
            <w:vAlign w:val="center"/>
          </w:tcPr>
          <w:p>
            <w:r>
              <w:rPr>
                <w:b w:val="false"/>
                <w:bCs w:val="false"/>
                <w:color w:val="000000"/>
                <w:sz w:val="20"/>
                <w:szCs w:val="20"/>
              </w:rPr>
              <w:t xml:space="preserve">FR-2</w:t>
            </w:r>
          </w:p>
        </w:tc>
        <w:tc>
          <w:tcPr>
            <w:tcW w:type="dxa" w:w="6900"/>
            <w:shd w:fill="F2F2F2" w:val="clear"/>
            <w:tcMar>
              <w:top w:type="dxa" w:w="80"/>
              <w:left w:type="dxa" w:w="120"/>
              <w:bottom w:type="dxa" w:w="80"/>
              <w:right w:type="dxa" w:w="120"/>
            </w:tcMar>
            <w:vAlign w:val="center"/>
          </w:tcPr>
          <w:p>
            <w:r>
              <w:rPr>
                <w:b w:val="false"/>
                <w:bCs w:val="false"/>
                <w:color w:val="000000"/>
                <w:sz w:val="20"/>
                <w:szCs w:val="20"/>
              </w:rPr>
              <w:t xml:space="preserve">Each company can upload its own private documents (governance files, drafts) to personalize answers, visible only to that company's authorized users.</w:t>
            </w:r>
          </w:p>
        </w:tc>
        <w:tc>
          <w:tcPr>
            <w:tcW w:type="dxa" w:w="1550"/>
            <w:shd w:fill="F2F2F2" w:val="clear"/>
            <w:tcMar>
              <w:top w:type="dxa" w:w="80"/>
              <w:left w:type="dxa" w:w="120"/>
              <w:bottom w:type="dxa" w:w="80"/>
              <w:right w:type="dxa" w:w="120"/>
            </w:tcMar>
            <w:vAlign w:val="center"/>
          </w:tcPr>
          <w:p>
            <w:r>
              <w:rPr>
                <w:b w:val="false"/>
                <w:bCs w:val="false"/>
                <w:color w:val="000000"/>
                <w:sz w:val="20"/>
                <w:szCs w:val="20"/>
              </w:rPr>
              <w:t xml:space="preserve">Must</w:t>
            </w:r>
          </w:p>
        </w:tc>
      </w:tr>
      <w:tr>
        <w:tc>
          <w:tcPr>
            <w:tcW w:type="dxa" w:w="900"/>
            <w:tcMar>
              <w:top w:type="dxa" w:w="80"/>
              <w:left w:type="dxa" w:w="120"/>
              <w:bottom w:type="dxa" w:w="80"/>
              <w:right w:type="dxa" w:w="120"/>
            </w:tcMar>
            <w:vAlign w:val="center"/>
          </w:tcPr>
          <w:p>
            <w:r>
              <w:rPr>
                <w:b w:val="false"/>
                <w:bCs w:val="false"/>
                <w:color w:val="000000"/>
                <w:sz w:val="20"/>
                <w:szCs w:val="20"/>
              </w:rPr>
              <w:t xml:space="preserve">FR-3</w:t>
            </w:r>
          </w:p>
        </w:tc>
        <w:tc>
          <w:tcPr>
            <w:tcW w:type="dxa" w:w="6900"/>
            <w:tcMar>
              <w:top w:type="dxa" w:w="80"/>
              <w:left w:type="dxa" w:w="120"/>
              <w:bottom w:type="dxa" w:w="80"/>
              <w:right w:type="dxa" w:w="120"/>
            </w:tcMar>
            <w:vAlign w:val="center"/>
          </w:tcPr>
          <w:p>
            <w:r>
              <w:rPr>
                <w:b w:val="false"/>
                <w:bCs w:val="false"/>
                <w:color w:val="000000"/>
                <w:sz w:val="20"/>
                <w:szCs w:val="20"/>
              </w:rPr>
              <w:t xml:space="preserve">System distinguishes and labels answers drawn from shared regulatory content vs. a company's own private documents.</w:t>
            </w:r>
          </w:p>
        </w:tc>
        <w:tc>
          <w:tcPr>
            <w:tcW w:type="dxa" w:w="1550"/>
            <w:tcMar>
              <w:top w:type="dxa" w:w="80"/>
              <w:left w:type="dxa" w:w="120"/>
              <w:bottom w:type="dxa" w:w="80"/>
              <w:right w:type="dxa" w:w="120"/>
            </w:tcMar>
            <w:vAlign w:val="center"/>
          </w:tcPr>
          <w:p>
            <w:r>
              <w:rPr>
                <w:b w:val="false"/>
                <w:bCs w:val="false"/>
                <w:color w:val="000000"/>
                <w:sz w:val="20"/>
                <w:szCs w:val="20"/>
              </w:rPr>
              <w:t xml:space="preserve">Must</w:t>
            </w:r>
          </w:p>
        </w:tc>
      </w:tr>
      <w:tr>
        <w:tc>
          <w:tcPr>
            <w:tcW w:type="dxa" w:w="900"/>
            <w:shd w:fill="F2F2F2" w:val="clear"/>
            <w:tcMar>
              <w:top w:type="dxa" w:w="80"/>
              <w:left w:type="dxa" w:w="120"/>
              <w:bottom w:type="dxa" w:w="80"/>
              <w:right w:type="dxa" w:w="120"/>
            </w:tcMar>
            <w:vAlign w:val="center"/>
          </w:tcPr>
          <w:p>
            <w:r>
              <w:rPr>
                <w:b w:val="false"/>
                <w:bCs w:val="false"/>
                <w:color w:val="000000"/>
                <w:sz w:val="20"/>
                <w:szCs w:val="20"/>
              </w:rPr>
              <w:t xml:space="preserve">FR-4</w:t>
            </w:r>
          </w:p>
        </w:tc>
        <w:tc>
          <w:tcPr>
            <w:tcW w:type="dxa" w:w="6900"/>
            <w:shd w:fill="F2F2F2" w:val="clear"/>
            <w:tcMar>
              <w:top w:type="dxa" w:w="80"/>
              <w:left w:type="dxa" w:w="120"/>
              <w:bottom w:type="dxa" w:w="80"/>
              <w:right w:type="dxa" w:w="120"/>
            </w:tcMar>
            <w:vAlign w:val="center"/>
          </w:tcPr>
          <w:p>
            <w:r>
              <w:rPr>
                <w:b w:val="false"/>
                <w:bCs w:val="false"/>
                <w:color w:val="000000"/>
                <w:sz w:val="20"/>
                <w:szCs w:val="20"/>
              </w:rPr>
              <w:t xml:space="preserve">Administrators (EGX/FRA) can update the shared knowledge base when rules change, with version tracking.</w:t>
            </w:r>
          </w:p>
        </w:tc>
        <w:tc>
          <w:tcPr>
            <w:tcW w:type="dxa" w:w="1550"/>
            <w:shd w:fill="F2F2F2" w:val="clear"/>
            <w:tcMar>
              <w:top w:type="dxa" w:w="80"/>
              <w:left w:type="dxa" w:w="120"/>
              <w:bottom w:type="dxa" w:w="80"/>
              <w:right w:type="dxa" w:w="120"/>
            </w:tcMar>
            <w:vAlign w:val="center"/>
          </w:tcPr>
          <w:p>
            <w:r>
              <w:rPr>
                <w:b w:val="false"/>
                <w:bCs w:val="false"/>
                <w:color w:val="000000"/>
                <w:sz w:val="20"/>
                <w:szCs w:val="20"/>
              </w:rPr>
              <w:t xml:space="preserve">Must</w:t>
            </w:r>
          </w:p>
        </w:tc>
      </w:tr>
      <w:tr>
        <w:tc>
          <w:tcPr>
            <w:tcW w:type="dxa" w:w="900"/>
            <w:tcMar>
              <w:top w:type="dxa" w:w="80"/>
              <w:left w:type="dxa" w:w="120"/>
              <w:bottom w:type="dxa" w:w="80"/>
              <w:right w:type="dxa" w:w="120"/>
            </w:tcMar>
            <w:vAlign w:val="center"/>
          </w:tcPr>
          <w:p>
            <w:r>
              <w:rPr>
                <w:b w:val="false"/>
                <w:bCs w:val="false"/>
                <w:color w:val="000000"/>
                <w:sz w:val="20"/>
                <w:szCs w:val="20"/>
              </w:rPr>
              <w:t xml:space="preserve">FR-5</w:t>
            </w:r>
          </w:p>
        </w:tc>
        <w:tc>
          <w:tcPr>
            <w:tcW w:type="dxa" w:w="6900"/>
            <w:tcMar>
              <w:top w:type="dxa" w:w="80"/>
              <w:left w:type="dxa" w:w="120"/>
              <w:bottom w:type="dxa" w:w="80"/>
              <w:right w:type="dxa" w:w="120"/>
            </w:tcMar>
            <w:vAlign w:val="center"/>
          </w:tcPr>
          <w:p>
            <w:r>
              <w:rPr>
                <w:b w:val="false"/>
                <w:bCs w:val="false"/>
                <w:color w:val="000000"/>
                <w:sz w:val="20"/>
                <w:szCs w:val="20"/>
              </w:rPr>
              <w:t xml:space="preserve">Role-based access control per company and per user role (executive, compliance officer, admin).</w:t>
            </w:r>
          </w:p>
        </w:tc>
        <w:tc>
          <w:tcPr>
            <w:tcW w:type="dxa" w:w="1550"/>
            <w:tcMar>
              <w:top w:type="dxa" w:w="80"/>
              <w:left w:type="dxa" w:w="120"/>
              <w:bottom w:type="dxa" w:w="80"/>
              <w:right w:type="dxa" w:w="120"/>
            </w:tcMar>
            <w:vAlign w:val="center"/>
          </w:tcPr>
          <w:p>
            <w:r>
              <w:rPr>
                <w:b w:val="false"/>
                <w:bCs w:val="false"/>
                <w:color w:val="000000"/>
                <w:sz w:val="20"/>
                <w:szCs w:val="20"/>
              </w:rPr>
              <w:t xml:space="preserve">Must</w:t>
            </w:r>
          </w:p>
        </w:tc>
      </w:tr>
      <w:tr>
        <w:tc>
          <w:tcPr>
            <w:tcW w:type="dxa" w:w="900"/>
            <w:shd w:fill="F2F2F2" w:val="clear"/>
            <w:tcMar>
              <w:top w:type="dxa" w:w="80"/>
              <w:left w:type="dxa" w:w="120"/>
              <w:bottom w:type="dxa" w:w="80"/>
              <w:right w:type="dxa" w:w="120"/>
            </w:tcMar>
            <w:vAlign w:val="center"/>
          </w:tcPr>
          <w:p>
            <w:r>
              <w:rPr>
                <w:b w:val="false"/>
                <w:bCs w:val="false"/>
                <w:color w:val="000000"/>
                <w:sz w:val="20"/>
                <w:szCs w:val="20"/>
              </w:rPr>
              <w:t xml:space="preserve">FR-6</w:t>
            </w:r>
          </w:p>
        </w:tc>
        <w:tc>
          <w:tcPr>
            <w:tcW w:type="dxa" w:w="6900"/>
            <w:shd w:fill="F2F2F2" w:val="clear"/>
            <w:tcMar>
              <w:top w:type="dxa" w:w="80"/>
              <w:left w:type="dxa" w:w="120"/>
              <w:bottom w:type="dxa" w:w="80"/>
              <w:right w:type="dxa" w:w="120"/>
            </w:tcMar>
            <w:vAlign w:val="center"/>
          </w:tcPr>
          <w:p>
            <w:r>
              <w:rPr>
                <w:b w:val="false"/>
                <w:bCs w:val="false"/>
                <w:color w:val="000000"/>
                <w:sz w:val="20"/>
                <w:szCs w:val="20"/>
              </w:rPr>
              <w:t xml:space="preserve">Conversation history retained per user/company for continuity, with retention/deletion controls.</w:t>
            </w:r>
          </w:p>
        </w:tc>
        <w:tc>
          <w:tcPr>
            <w:tcW w:type="dxa" w:w="1550"/>
            <w:shd w:fill="F2F2F2" w:val="clear"/>
            <w:tcMar>
              <w:top w:type="dxa" w:w="80"/>
              <w:left w:type="dxa" w:w="120"/>
              <w:bottom w:type="dxa" w:w="80"/>
              <w:right w:type="dxa" w:w="120"/>
            </w:tcMar>
            <w:vAlign w:val="center"/>
          </w:tcPr>
          <w:p>
            <w:r>
              <w:rPr>
                <w:b w:val="false"/>
                <w:bCs w:val="false"/>
                <w:color w:val="000000"/>
                <w:sz w:val="20"/>
                <w:szCs w:val="20"/>
              </w:rPr>
              <w:t xml:space="preserve">Should</w:t>
            </w:r>
          </w:p>
        </w:tc>
      </w:tr>
      <w:tr>
        <w:tc>
          <w:tcPr>
            <w:tcW w:type="dxa" w:w="900"/>
            <w:tcMar>
              <w:top w:type="dxa" w:w="80"/>
              <w:left w:type="dxa" w:w="120"/>
              <w:bottom w:type="dxa" w:w="80"/>
              <w:right w:type="dxa" w:w="120"/>
            </w:tcMar>
            <w:vAlign w:val="center"/>
          </w:tcPr>
          <w:p>
            <w:r>
              <w:rPr>
                <w:b w:val="false"/>
                <w:bCs w:val="false"/>
                <w:color w:val="000000"/>
                <w:sz w:val="20"/>
                <w:szCs w:val="20"/>
              </w:rPr>
              <w:t xml:space="preserve">FR-7</w:t>
            </w:r>
          </w:p>
        </w:tc>
        <w:tc>
          <w:tcPr>
            <w:tcW w:type="dxa" w:w="6900"/>
            <w:tcMar>
              <w:top w:type="dxa" w:w="80"/>
              <w:left w:type="dxa" w:w="120"/>
              <w:bottom w:type="dxa" w:w="80"/>
              <w:right w:type="dxa" w:w="120"/>
            </w:tcMar>
            <w:vAlign w:val="center"/>
          </w:tcPr>
          <w:p>
            <w:r>
              <w:rPr>
                <w:b w:val="false"/>
                <w:bCs w:val="false"/>
                <w:color w:val="000000"/>
                <w:sz w:val="20"/>
                <w:szCs w:val="20"/>
              </w:rPr>
              <w:t xml:space="preserve">Aggregated, anonymized analytics dashboard for EGX/FRA on usage volume and common topics/gaps.</w:t>
            </w:r>
          </w:p>
        </w:tc>
        <w:tc>
          <w:tcPr>
            <w:tcW w:type="dxa" w:w="1550"/>
            <w:tcMar>
              <w:top w:type="dxa" w:w="80"/>
              <w:left w:type="dxa" w:w="120"/>
              <w:bottom w:type="dxa" w:w="80"/>
              <w:right w:type="dxa" w:w="120"/>
            </w:tcMar>
            <w:vAlign w:val="center"/>
          </w:tcPr>
          <w:p>
            <w:r>
              <w:rPr>
                <w:b w:val="false"/>
                <w:bCs w:val="false"/>
                <w:color w:val="000000"/>
                <w:sz w:val="20"/>
                <w:szCs w:val="20"/>
              </w:rPr>
              <w:t xml:space="preserve">Should</w:t>
            </w:r>
          </w:p>
        </w:tc>
      </w:tr>
      <w:tr>
        <w:tc>
          <w:tcPr>
            <w:tcW w:type="dxa" w:w="900"/>
            <w:shd w:fill="F2F2F2" w:val="clear"/>
            <w:tcMar>
              <w:top w:type="dxa" w:w="80"/>
              <w:left w:type="dxa" w:w="120"/>
              <w:bottom w:type="dxa" w:w="80"/>
              <w:right w:type="dxa" w:w="120"/>
            </w:tcMar>
            <w:vAlign w:val="center"/>
          </w:tcPr>
          <w:p>
            <w:r>
              <w:rPr>
                <w:b w:val="false"/>
                <w:bCs w:val="false"/>
                <w:color w:val="000000"/>
                <w:sz w:val="20"/>
                <w:szCs w:val="20"/>
              </w:rPr>
              <w:t xml:space="preserve">FR-8</w:t>
            </w:r>
          </w:p>
        </w:tc>
        <w:tc>
          <w:tcPr>
            <w:tcW w:type="dxa" w:w="6900"/>
            <w:shd w:fill="F2F2F2" w:val="clear"/>
            <w:tcMar>
              <w:top w:type="dxa" w:w="80"/>
              <w:left w:type="dxa" w:w="120"/>
              <w:bottom w:type="dxa" w:w="80"/>
              <w:right w:type="dxa" w:w="120"/>
            </w:tcMar>
            <w:vAlign w:val="center"/>
          </w:tcPr>
          <w:p>
            <w:r>
              <w:rPr>
                <w:b w:val="false"/>
                <w:bCs w:val="false"/>
                <w:color w:val="000000"/>
                <w:sz w:val="20"/>
                <w:szCs w:val="20"/>
              </w:rPr>
              <w:t xml:space="preserve">Multi-language support (Arabic and English) for both questions and answers.</w:t>
            </w:r>
          </w:p>
        </w:tc>
        <w:tc>
          <w:tcPr>
            <w:tcW w:type="dxa" w:w="1550"/>
            <w:shd w:fill="F2F2F2" w:val="clear"/>
            <w:tcMar>
              <w:top w:type="dxa" w:w="80"/>
              <w:left w:type="dxa" w:w="120"/>
              <w:bottom w:type="dxa" w:w="80"/>
              <w:right w:type="dxa" w:w="120"/>
            </w:tcMar>
            <w:vAlign w:val="center"/>
          </w:tcPr>
          <w:p>
            <w:r>
              <w:rPr>
                <w:b w:val="false"/>
                <w:bCs w:val="false"/>
                <w:color w:val="000000"/>
                <w:sz w:val="20"/>
                <w:szCs w:val="20"/>
              </w:rPr>
              <w:t xml:space="preserve">Should</w:t>
            </w:r>
          </w:p>
        </w:tc>
      </w:tr>
      <w:tr>
        <w:tc>
          <w:tcPr>
            <w:tcW w:type="dxa" w:w="900"/>
            <w:tcMar>
              <w:top w:type="dxa" w:w="80"/>
              <w:left w:type="dxa" w:w="120"/>
              <w:bottom w:type="dxa" w:w="80"/>
              <w:right w:type="dxa" w:w="120"/>
            </w:tcMar>
            <w:vAlign w:val="center"/>
          </w:tcPr>
          <w:p>
            <w:r>
              <w:rPr>
                <w:b w:val="false"/>
                <w:bCs w:val="false"/>
                <w:color w:val="000000"/>
                <w:sz w:val="20"/>
                <w:szCs w:val="20"/>
              </w:rPr>
              <w:t xml:space="preserve">FR-9</w:t>
            </w:r>
          </w:p>
        </w:tc>
        <w:tc>
          <w:tcPr>
            <w:tcW w:type="dxa" w:w="6900"/>
            <w:tcMar>
              <w:top w:type="dxa" w:w="80"/>
              <w:left w:type="dxa" w:w="120"/>
              <w:bottom w:type="dxa" w:w="80"/>
              <w:right w:type="dxa" w:w="120"/>
            </w:tcMar>
            <w:vAlign w:val="center"/>
          </w:tcPr>
          <w:p>
            <w:r>
              <w:rPr>
                <w:b w:val="false"/>
                <w:bCs w:val="false"/>
                <w:color w:val="000000"/>
                <w:sz w:val="20"/>
                <w:szCs w:val="20"/>
              </w:rPr>
              <w:t xml:space="preserve">Escalation path: flag questions the system cannot answer confidently for human (FRA/EGX/FSI) follow-up.</w:t>
            </w:r>
          </w:p>
        </w:tc>
        <w:tc>
          <w:tcPr>
            <w:tcW w:type="dxa" w:w="1550"/>
            <w:tcMar>
              <w:top w:type="dxa" w:w="80"/>
              <w:left w:type="dxa" w:w="120"/>
              <w:bottom w:type="dxa" w:w="80"/>
              <w:right w:type="dxa" w:w="120"/>
            </w:tcMar>
            <w:vAlign w:val="center"/>
          </w:tcPr>
          <w:p>
            <w:r>
              <w:rPr>
                <w:b w:val="false"/>
                <w:bCs w:val="false"/>
                <w:color w:val="000000"/>
                <w:sz w:val="20"/>
                <w:szCs w:val="20"/>
              </w:rPr>
              <w:t xml:space="preserve">Should</w:t>
            </w:r>
          </w:p>
        </w:tc>
      </w:tr>
      <w:tr>
        <w:tc>
          <w:tcPr>
            <w:tcW w:type="dxa" w:w="900"/>
            <w:shd w:fill="F2F2F2" w:val="clear"/>
            <w:tcMar>
              <w:top w:type="dxa" w:w="80"/>
              <w:left w:type="dxa" w:w="120"/>
              <w:bottom w:type="dxa" w:w="80"/>
              <w:right w:type="dxa" w:w="120"/>
            </w:tcMar>
            <w:vAlign w:val="center"/>
          </w:tcPr>
          <w:p>
            <w:r>
              <w:rPr>
                <w:b w:val="false"/>
                <w:bCs w:val="false"/>
                <w:color w:val="000000"/>
                <w:sz w:val="20"/>
                <w:szCs w:val="20"/>
              </w:rPr>
              <w:t xml:space="preserve">FR-10</w:t>
            </w:r>
          </w:p>
        </w:tc>
        <w:tc>
          <w:tcPr>
            <w:tcW w:type="dxa" w:w="6900"/>
            <w:shd w:fill="F2F2F2" w:val="clear"/>
            <w:tcMar>
              <w:top w:type="dxa" w:w="80"/>
              <w:left w:type="dxa" w:w="120"/>
              <w:bottom w:type="dxa" w:w="80"/>
              <w:right w:type="dxa" w:w="120"/>
            </w:tcMar>
            <w:vAlign w:val="center"/>
          </w:tcPr>
          <w:p>
            <w:r>
              <w:rPr>
                <w:b w:val="false"/>
                <w:bCs w:val="false"/>
                <w:color w:val="000000"/>
                <w:sz w:val="20"/>
                <w:szCs w:val="20"/>
              </w:rPr>
              <w:t xml:space="preserve">Bilingual document ingestion (Arabic/English regulatory texts).</w:t>
            </w:r>
          </w:p>
        </w:tc>
        <w:tc>
          <w:tcPr>
            <w:tcW w:type="dxa" w:w="1550"/>
            <w:shd w:fill="F2F2F2" w:val="clear"/>
            <w:tcMar>
              <w:top w:type="dxa" w:w="80"/>
              <w:left w:type="dxa" w:w="120"/>
              <w:bottom w:type="dxa" w:w="80"/>
              <w:right w:type="dxa" w:w="120"/>
            </w:tcMar>
            <w:vAlign w:val="center"/>
          </w:tcPr>
          <w:p>
            <w:r>
              <w:rPr>
                <w:b w:val="false"/>
                <w:bCs w:val="false"/>
                <w:color w:val="000000"/>
                <w:sz w:val="20"/>
                <w:szCs w:val="20"/>
              </w:rPr>
              <w:t xml:space="preserve">Could</w:t>
            </w:r>
          </w:p>
        </w:tc>
      </w:tr>
    </w:tbl>
    <w:p>
      <w:pPr>
        <w:pStyle w:val="Heading1"/>
        <w:pBdr>
          <w:bottom w:val="single" w:color="1F3A5F" w:sz="6" w:space="4"/>
        </w:pBdr>
        <w:spacing w:after="200" w:before="400"/>
      </w:pPr>
      <w:r>
        <w:rPr>
          <w:b/>
          <w:bCs/>
          <w:color w:val="1F3A5F"/>
          <w:sz w:val="30"/>
          <w:szCs w:val="30"/>
        </w:rPr>
        <w:t xml:space="preserve">10. Non-Functional Requirements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rPr>
          <w:tblHeader/>
        </w:trPr>
        <w:tc>
          <w:tcPr>
            <w:tcW w:type="dxa" w:w="2800"/>
            <w:shd w:fill="1F3A5F" w:val="clear"/>
            <w:tcMar>
              <w:top w:type="dxa" w:w="80"/>
              <w:left w:type="dxa" w:w="120"/>
              <w:bottom w:type="dxa" w:w="80"/>
              <w:right w:type="dxa" w:w="120"/>
            </w:tcMar>
            <w:vAlign w:val="center"/>
          </w:tcPr>
          <w:p>
            <w:r>
              <w:rPr>
                <w:b/>
                <w:bCs/>
                <w:color w:val="FFFFFF"/>
                <w:sz w:val="20"/>
                <w:szCs w:val="20"/>
              </w:rPr>
              <w:t xml:space="preserve">Category</w:t>
            </w:r>
          </w:p>
        </w:tc>
        <w:tc>
          <w:tcPr>
            <w:tcW w:type="dxa" w:w="6550"/>
            <w:shd w:fill="1F3A5F" w:val="clear"/>
            <w:tcMar>
              <w:top w:type="dxa" w:w="80"/>
              <w:left w:type="dxa" w:w="120"/>
              <w:bottom w:type="dxa" w:w="80"/>
              <w:right w:type="dxa" w:w="120"/>
            </w:tcMar>
            <w:vAlign w:val="center"/>
          </w:tcPr>
          <w:p>
            <w:r>
              <w:rPr>
                <w:b/>
                <w:bCs/>
                <w:color w:val="FFFFFF"/>
                <w:sz w:val="20"/>
                <w:szCs w:val="20"/>
              </w:rPr>
              <w:t xml:space="preserve">Requirement</w:t>
            </w:r>
          </w:p>
        </w:tc>
      </w:tr>
      <w:tr>
        <w:tc>
          <w:tcPr>
            <w:tcW w:type="dxa" w:w="2800"/>
            <w:tcMar>
              <w:top w:type="dxa" w:w="80"/>
              <w:left w:type="dxa" w:w="120"/>
              <w:bottom w:type="dxa" w:w="80"/>
              <w:right w:type="dxa" w:w="120"/>
            </w:tcMar>
            <w:vAlign w:val="center"/>
          </w:tcPr>
          <w:p>
            <w:r>
              <w:rPr>
                <w:b w:val="false"/>
                <w:bCs w:val="false"/>
                <w:color w:val="000000"/>
                <w:sz w:val="20"/>
                <w:szCs w:val="20"/>
              </w:rPr>
              <w:t xml:space="preserve">Data Isolation</w:t>
            </w:r>
          </w:p>
        </w:tc>
        <w:tc>
          <w:tcPr>
            <w:tcW w:type="dxa" w:w="6550"/>
            <w:tcMar>
              <w:top w:type="dxa" w:w="80"/>
              <w:left w:type="dxa" w:w="120"/>
              <w:bottom w:type="dxa" w:w="80"/>
              <w:right w:type="dxa" w:w="120"/>
            </w:tcMar>
            <w:vAlign w:val="center"/>
          </w:tcPr>
          <w:p>
            <w:r>
              <w:rPr>
                <w:b w:val="false"/>
                <w:bCs w:val="false"/>
                <w:color w:val="000000"/>
                <w:sz w:val="20"/>
                <w:szCs w:val="20"/>
              </w:rPr>
              <w:t xml:space="preserve">Company-private data must be logically and, where required, physically segregated; no cross-company data leakage under any query.</w:t>
            </w:r>
          </w:p>
        </w:tc>
      </w:tr>
      <w:tr>
        <w:tc>
          <w:tcPr>
            <w:tcW w:type="dxa" w:w="2800"/>
            <w:shd w:fill="F2F2F2" w:val="clear"/>
            <w:tcMar>
              <w:top w:type="dxa" w:w="80"/>
              <w:left w:type="dxa" w:w="120"/>
              <w:bottom w:type="dxa" w:w="80"/>
              <w:right w:type="dxa" w:w="120"/>
            </w:tcMar>
            <w:vAlign w:val="center"/>
          </w:tcPr>
          <w:p>
            <w:r>
              <w:rPr>
                <w:b w:val="false"/>
                <w:bCs w:val="false"/>
                <w:color w:val="000000"/>
                <w:sz w:val="20"/>
                <w:szCs w:val="20"/>
              </w:rPr>
              <w:t xml:space="preserve">Security</w:t>
            </w:r>
          </w:p>
        </w:tc>
        <w:tc>
          <w:tcPr>
            <w:tcW w:type="dxa" w:w="6550"/>
            <w:shd w:fill="F2F2F2" w:val="clear"/>
            <w:tcMar>
              <w:top w:type="dxa" w:w="80"/>
              <w:left w:type="dxa" w:w="120"/>
              <w:bottom w:type="dxa" w:w="80"/>
              <w:right w:type="dxa" w:w="120"/>
            </w:tcMar>
            <w:vAlign w:val="center"/>
          </w:tcPr>
          <w:p>
            <w:r>
              <w:rPr>
                <w:b w:val="false"/>
                <w:bCs w:val="false"/>
                <w:color w:val="000000"/>
                <w:sz w:val="20"/>
                <w:szCs w:val="20"/>
              </w:rPr>
              <w:t xml:space="preserve">Hosting on EGX/FRA-approved (or jointly governed) GPU infrastructure; encryption in transit and at rest; access audit logging.</w:t>
            </w:r>
          </w:p>
        </w:tc>
      </w:tr>
      <w:tr>
        <w:tc>
          <w:tcPr>
            <w:tcW w:type="dxa" w:w="2800"/>
            <w:tcMar>
              <w:top w:type="dxa" w:w="80"/>
              <w:left w:type="dxa" w:w="120"/>
              <w:bottom w:type="dxa" w:w="80"/>
              <w:right w:type="dxa" w:w="120"/>
            </w:tcMar>
            <w:vAlign w:val="center"/>
          </w:tcPr>
          <w:p>
            <w:r>
              <w:rPr>
                <w:b w:val="false"/>
                <w:bCs w:val="false"/>
                <w:color w:val="000000"/>
                <w:sz w:val="20"/>
                <w:szCs w:val="20"/>
              </w:rPr>
              <w:t xml:space="preserve">Data Residency</w:t>
            </w:r>
          </w:p>
        </w:tc>
        <w:tc>
          <w:tcPr>
            <w:tcW w:type="dxa" w:w="6550"/>
            <w:tcMar>
              <w:top w:type="dxa" w:w="80"/>
              <w:left w:type="dxa" w:w="120"/>
              <w:bottom w:type="dxa" w:w="80"/>
              <w:right w:type="dxa" w:w="120"/>
            </w:tcMar>
            <w:vAlign w:val="center"/>
          </w:tcPr>
          <w:p>
            <w:r>
              <w:rPr>
                <w:b w:val="false"/>
                <w:bCs w:val="false"/>
                <w:color w:val="000000"/>
                <w:sz w:val="20"/>
                <w:szCs w:val="20"/>
              </w:rPr>
              <w:t xml:space="preserve">Infrastructure and data storage located in Egypt / within jurisdiction acceptable to FRA and EGX data governance policy.</w:t>
            </w:r>
          </w:p>
        </w:tc>
      </w:tr>
      <w:tr>
        <w:tc>
          <w:tcPr>
            <w:tcW w:type="dxa" w:w="2800"/>
            <w:shd w:fill="F2F2F2" w:val="clear"/>
            <w:tcMar>
              <w:top w:type="dxa" w:w="80"/>
              <w:left w:type="dxa" w:w="120"/>
              <w:bottom w:type="dxa" w:w="80"/>
              <w:right w:type="dxa" w:w="120"/>
            </w:tcMar>
            <w:vAlign w:val="center"/>
          </w:tcPr>
          <w:p>
            <w:r>
              <w:rPr>
                <w:b w:val="false"/>
                <w:bCs w:val="false"/>
                <w:color w:val="000000"/>
                <w:sz w:val="20"/>
                <w:szCs w:val="20"/>
              </w:rPr>
              <w:t xml:space="preserve">Accuracy / Groundedness</w:t>
            </w:r>
          </w:p>
        </w:tc>
        <w:tc>
          <w:tcPr>
            <w:tcW w:type="dxa" w:w="6550"/>
            <w:shd w:fill="F2F2F2" w:val="clear"/>
            <w:tcMar>
              <w:top w:type="dxa" w:w="80"/>
              <w:left w:type="dxa" w:w="120"/>
              <w:bottom w:type="dxa" w:w="80"/>
              <w:right w:type="dxa" w:w="120"/>
            </w:tcMar>
            <w:vAlign w:val="center"/>
          </w:tcPr>
          <w:p>
            <w:r>
              <w:rPr>
                <w:b w:val="false"/>
                <w:bCs w:val="false"/>
                <w:color w:val="000000"/>
                <w:sz w:val="20"/>
                <w:szCs w:val="20"/>
              </w:rPr>
              <w:t xml:space="preserve">Answers must be grounded in retrieved source documents with citation; the system must decline or flag when no reliable source is found.</w:t>
            </w:r>
          </w:p>
        </w:tc>
      </w:tr>
      <w:tr>
        <w:tc>
          <w:tcPr>
            <w:tcW w:type="dxa" w:w="2800"/>
            <w:tcMar>
              <w:top w:type="dxa" w:w="80"/>
              <w:left w:type="dxa" w:w="120"/>
              <w:bottom w:type="dxa" w:w="80"/>
              <w:right w:type="dxa" w:w="120"/>
            </w:tcMar>
            <w:vAlign w:val="center"/>
          </w:tcPr>
          <w:p>
            <w:r>
              <w:rPr>
                <w:b w:val="false"/>
                <w:bCs w:val="false"/>
                <w:color w:val="000000"/>
                <w:sz w:val="20"/>
                <w:szCs w:val="20"/>
              </w:rPr>
              <w:t xml:space="preserve">Availability</w:t>
            </w:r>
          </w:p>
        </w:tc>
        <w:tc>
          <w:tcPr>
            <w:tcW w:type="dxa" w:w="6550"/>
            <w:tcMar>
              <w:top w:type="dxa" w:w="80"/>
              <w:left w:type="dxa" w:w="120"/>
              <w:bottom w:type="dxa" w:w="80"/>
              <w:right w:type="dxa" w:w="120"/>
            </w:tcMar>
            <w:vAlign w:val="center"/>
          </w:tcPr>
          <w:p>
            <w:r>
              <w:rPr>
                <w:b w:val="false"/>
                <w:bCs w:val="false"/>
                <w:color w:val="000000"/>
                <w:sz w:val="20"/>
                <w:szCs w:val="20"/>
              </w:rPr>
              <w:t xml:space="preserve">Target uptime of 99.5% during business hours for Phase 1 pilot.</w:t>
            </w:r>
          </w:p>
        </w:tc>
      </w:tr>
      <w:tr>
        <w:tc>
          <w:tcPr>
            <w:tcW w:type="dxa" w:w="2800"/>
            <w:shd w:fill="F2F2F2" w:val="clear"/>
            <w:tcMar>
              <w:top w:type="dxa" w:w="80"/>
              <w:left w:type="dxa" w:w="120"/>
              <w:bottom w:type="dxa" w:w="80"/>
              <w:right w:type="dxa" w:w="120"/>
            </w:tcMar>
            <w:vAlign w:val="center"/>
          </w:tcPr>
          <w:p>
            <w:r>
              <w:rPr>
                <w:b w:val="false"/>
                <w:bCs w:val="false"/>
                <w:color w:val="000000"/>
                <w:sz w:val="20"/>
                <w:szCs w:val="20"/>
              </w:rPr>
              <w:t xml:space="preserve">Scalability</w:t>
            </w:r>
          </w:p>
        </w:tc>
        <w:tc>
          <w:tcPr>
            <w:tcW w:type="dxa" w:w="6550"/>
            <w:shd w:fill="F2F2F2" w:val="clear"/>
            <w:tcMar>
              <w:top w:type="dxa" w:w="80"/>
              <w:left w:type="dxa" w:w="120"/>
              <w:bottom w:type="dxa" w:w="80"/>
              <w:right w:type="dxa" w:w="120"/>
            </w:tcMar>
            <w:vAlign w:val="center"/>
          </w:tcPr>
          <w:p>
            <w:r>
              <w:rPr>
                <w:b w:val="false"/>
                <w:bCs w:val="false"/>
                <w:color w:val="000000"/>
                <w:sz w:val="20"/>
                <w:szCs w:val="20"/>
              </w:rPr>
              <w:t xml:space="preserve">Architecture must support growth from 20 to 100+ companies without redesign.</w:t>
            </w:r>
          </w:p>
        </w:tc>
      </w:tr>
      <w:tr>
        <w:tc>
          <w:tcPr>
            <w:tcW w:type="dxa" w:w="2800"/>
            <w:tcMar>
              <w:top w:type="dxa" w:w="80"/>
              <w:left w:type="dxa" w:w="120"/>
              <w:bottom w:type="dxa" w:w="80"/>
              <w:right w:type="dxa" w:w="120"/>
            </w:tcMar>
            <w:vAlign w:val="center"/>
          </w:tcPr>
          <w:p>
            <w:r>
              <w:rPr>
                <w:b w:val="false"/>
                <w:bCs w:val="false"/>
                <w:color w:val="000000"/>
                <w:sz w:val="20"/>
                <w:szCs w:val="20"/>
              </w:rPr>
              <w:t xml:space="preserve">Auditability</w:t>
            </w:r>
          </w:p>
        </w:tc>
        <w:tc>
          <w:tcPr>
            <w:tcW w:type="dxa" w:w="6550"/>
            <w:tcMar>
              <w:top w:type="dxa" w:w="80"/>
              <w:left w:type="dxa" w:w="120"/>
              <w:bottom w:type="dxa" w:w="80"/>
              <w:right w:type="dxa" w:w="120"/>
            </w:tcMar>
            <w:vAlign w:val="center"/>
          </w:tcPr>
          <w:p>
            <w:r>
              <w:rPr>
                <w:b w:val="false"/>
                <w:bCs w:val="false"/>
                <w:color w:val="000000"/>
                <w:sz w:val="20"/>
                <w:szCs w:val="20"/>
              </w:rPr>
              <w:t xml:space="preserve">Full logs of queries and answers retained for compliance review by EGX/FRA.</w:t>
            </w:r>
          </w:p>
        </w:tc>
      </w:tr>
      <w:tr>
        <w:tc>
          <w:tcPr>
            <w:tcW w:type="dxa" w:w="2800"/>
            <w:shd w:fill="F2F2F2" w:val="clear"/>
            <w:tcMar>
              <w:top w:type="dxa" w:w="80"/>
              <w:left w:type="dxa" w:w="120"/>
              <w:bottom w:type="dxa" w:w="80"/>
              <w:right w:type="dxa" w:w="120"/>
            </w:tcMar>
            <w:vAlign w:val="center"/>
          </w:tcPr>
          <w:p>
            <w:r>
              <w:rPr>
                <w:b w:val="false"/>
                <w:bCs w:val="false"/>
                <w:color w:val="000000"/>
                <w:sz w:val="20"/>
                <w:szCs w:val="20"/>
              </w:rPr>
              <w:t xml:space="preserve">Usability</w:t>
            </w:r>
          </w:p>
        </w:tc>
        <w:tc>
          <w:tcPr>
            <w:tcW w:type="dxa" w:w="6550"/>
            <w:shd w:fill="F2F2F2" w:val="clear"/>
            <w:tcMar>
              <w:top w:type="dxa" w:w="80"/>
              <w:left w:type="dxa" w:w="120"/>
              <w:bottom w:type="dxa" w:w="80"/>
              <w:right w:type="dxa" w:w="120"/>
            </w:tcMar>
            <w:vAlign w:val="center"/>
          </w:tcPr>
          <w:p>
            <w:r>
              <w:rPr>
                <w:b w:val="false"/>
                <w:bCs w:val="false"/>
                <w:color w:val="000000"/>
                <w:sz w:val="20"/>
                <w:szCs w:val="20"/>
              </w:rPr>
              <w:t xml:space="preserve">Chat interface usable by non-technical executives with minimal training.</w:t>
            </w:r>
          </w:p>
        </w:tc>
      </w:tr>
    </w:tbl>
    <w:p>
      <w:pPr>
        <w:pStyle w:val="Heading1"/>
        <w:pBdr>
          <w:bottom w:val="single" w:color="1F3A5F" w:sz="6" w:space="4"/>
        </w:pBdr>
        <w:spacing w:after="200" w:before="400"/>
      </w:pPr>
      <w:r>
        <w:rPr>
          <w:b/>
          <w:bCs/>
          <w:color w:val="1F3A5F"/>
          <w:sz w:val="30"/>
          <w:szCs w:val="30"/>
        </w:rPr>
        <w:t xml:space="preserve">11. Knowledge Base — Data Sources</w:t>
      </w:r>
    </w:p>
    <w:p>
      <w:pPr>
        <w:pStyle w:val="ListParagraph"/>
        <w:numPr>
          <w:ilvl w:val="0"/>
          <w:numId w:val="2"/>
        </w:numPr>
        <w:spacing w:after="80" w:line="260"/>
      </w:pPr>
      <w:r>
        <w:rPr>
          <w:sz w:val="21"/>
          <w:szCs w:val="21"/>
        </w:rPr>
        <w:t xml:space="preserve">EGX listing rules and admission requirements</w:t>
      </w:r>
    </w:p>
    <w:p>
      <w:pPr>
        <w:pStyle w:val="ListParagraph"/>
        <w:numPr>
          <w:ilvl w:val="0"/>
          <w:numId w:val="2"/>
        </w:numPr>
        <w:spacing w:after="80" w:line="260"/>
      </w:pPr>
      <w:r>
        <w:rPr>
          <w:sz w:val="21"/>
          <w:szCs w:val="21"/>
        </w:rPr>
        <w:t xml:space="preserve">FRA regulations applicable to listed and pre-listing companies</w:t>
      </w:r>
    </w:p>
    <w:p>
      <w:pPr>
        <w:pStyle w:val="ListParagraph"/>
        <w:numPr>
          <w:ilvl w:val="0"/>
          <w:numId w:val="2"/>
        </w:numPr>
        <w:spacing w:after="80" w:line="260"/>
      </w:pPr>
      <w:r>
        <w:rPr>
          <w:sz w:val="21"/>
          <w:szCs w:val="21"/>
        </w:rPr>
        <w:t xml:space="preserve">Corporate governance codes and disclosure standards referenced in the FRA/FSI/EIoD training curriculum</w:t>
      </w:r>
    </w:p>
    <w:p>
      <w:pPr>
        <w:pStyle w:val="ListParagraph"/>
        <w:numPr>
          <w:ilvl w:val="0"/>
          <w:numId w:val="2"/>
        </w:numPr>
        <w:spacing w:after="80" w:line="260"/>
      </w:pPr>
      <w:r>
        <w:rPr>
          <w:sz w:val="21"/>
          <w:szCs w:val="21"/>
        </w:rPr>
        <w:t xml:space="preserve">Company-specific private documents (governance files, draft disclosures, board materials) uploaded by each company</w:t>
      </w:r>
    </w:p>
    <w:p>
      <w:pPr>
        <w:spacing w:after="160" w:line="276"/>
      </w:pPr>
      <w:r>
        <w:rPr>
          <w:sz w:val="21"/>
          <w:szCs w:val="21"/>
        </w:rPr>
        <w:t xml:space="preserve">All shared regulatory content is sourced and validated by EGX/FRA before ingestion; the platform does not source regulatory content from open internet search, to preserve accuracy and auditability.</w:t>
      </w:r>
    </w:p>
    <w:p>
      <w:pPr>
        <w:pStyle w:val="Heading1"/>
        <w:pBdr>
          <w:bottom w:val="single" w:color="1F3A5F" w:sz="6" w:space="4"/>
        </w:pBdr>
        <w:spacing w:after="200" w:before="400"/>
      </w:pPr>
      <w:r>
        <w:rPr>
          <w:b/>
          <w:bCs/>
          <w:color w:val="1F3A5F"/>
          <w:sz w:val="30"/>
          <w:szCs w:val="30"/>
        </w:rPr>
        <w:t xml:space="preserve">12. Illustrative User Journey</w:t>
      </w:r>
    </w:p>
    <w:p>
      <w:pPr>
        <w:spacing w:after="160" w:line="276"/>
      </w:pPr>
      <w:r>
        <w:rPr>
          <w:sz w:val="21"/>
          <w:szCs w:val="21"/>
        </w:rPr>
        <w:t xml:space="preserve">A compliance officer at one of the 20 cohort companies logs in and asks: “What disclosure obligations apply to us in the quarter immediately after listing?” The system retrieves the relevant EGX disclosure rule, cross-references the company's own governance readiness file (if uploaded), and returns a plain-language answer with a citation to the specific rule, flagging any gap against the company's current documentation. The interaction is logged, and an anonymized summary of the topic contributes to EGX/FRA's aggregate readiness reporting.</w:t>
      </w:r>
    </w:p>
    <w:p>
      <w:pPr>
        <w:pStyle w:val="Heading1"/>
        <w:pBdr>
          <w:bottom w:val="single" w:color="1F3A5F" w:sz="6" w:space="4"/>
        </w:pBdr>
        <w:spacing w:after="200" w:before="400"/>
      </w:pPr>
      <w:r>
        <w:rPr>
          <w:b/>
          <w:bCs/>
          <w:color w:val="1F3A5F"/>
          <w:sz w:val="30"/>
          <w:szCs w:val="30"/>
        </w:rPr>
        <w:t xml:space="preserve">13. Success Metrics (Phase 1 Pilot)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675"/>
        <w:gridCol w:w="3675"/>
      </w:tblGrid>
      <w:tr>
        <w:trPr>
          <w:tblHeader/>
        </w:trPr>
        <w:tc>
          <w:tcPr>
            <w:tcW w:type="dxa" w:w="5675"/>
            <w:shd w:fill="1F3A5F" w:val="clear"/>
            <w:tcMar>
              <w:top w:type="dxa" w:w="80"/>
              <w:left w:type="dxa" w:w="120"/>
              <w:bottom w:type="dxa" w:w="80"/>
              <w:right w:type="dxa" w:w="120"/>
            </w:tcMar>
            <w:vAlign w:val="center"/>
          </w:tcPr>
          <w:p>
            <w:r>
              <w:rPr>
                <w:b/>
                <w:bCs/>
                <w:color w:val="FFFFFF"/>
                <w:sz w:val="20"/>
                <w:szCs w:val="20"/>
              </w:rPr>
              <w:t xml:space="preserve">Metric</w:t>
            </w:r>
          </w:p>
        </w:tc>
        <w:tc>
          <w:tcPr>
            <w:tcW w:type="dxa" w:w="3675"/>
            <w:shd w:fill="1F3A5F" w:val="clear"/>
            <w:tcMar>
              <w:top w:type="dxa" w:w="80"/>
              <w:left w:type="dxa" w:w="120"/>
              <w:bottom w:type="dxa" w:w="80"/>
              <w:right w:type="dxa" w:w="120"/>
            </w:tcMar>
            <w:vAlign w:val="center"/>
          </w:tcPr>
          <w:p>
            <w:r>
              <w:rPr>
                <w:b/>
                <w:bCs/>
                <w:color w:val="FFFFFF"/>
                <w:sz w:val="20"/>
                <w:szCs w:val="20"/>
              </w:rPr>
              <w:t xml:space="preserve">Target</w:t>
            </w:r>
          </w:p>
        </w:tc>
      </w:tr>
      <w:tr>
        <w:tc>
          <w:tcPr>
            <w:tcW w:type="dxa" w:w="5675"/>
            <w:tcMar>
              <w:top w:type="dxa" w:w="80"/>
              <w:left w:type="dxa" w:w="120"/>
              <w:bottom w:type="dxa" w:w="80"/>
              <w:right w:type="dxa" w:w="120"/>
            </w:tcMar>
            <w:vAlign w:val="center"/>
          </w:tcPr>
          <w:p>
            <w:r>
              <w:rPr>
                <w:b w:val="false"/>
                <w:bCs w:val="false"/>
                <w:color w:val="000000"/>
                <w:sz w:val="20"/>
                <w:szCs w:val="20"/>
              </w:rPr>
              <w:t xml:space="preserve">Reduction in time to resolve a compliance question</w:t>
            </w:r>
          </w:p>
        </w:tc>
        <w:tc>
          <w:tcPr>
            <w:tcW w:type="dxa" w:w="3675"/>
            <w:tcMar>
              <w:top w:type="dxa" w:w="80"/>
              <w:left w:type="dxa" w:w="120"/>
              <w:bottom w:type="dxa" w:w="80"/>
              <w:right w:type="dxa" w:w="120"/>
            </w:tcMar>
            <w:vAlign w:val="center"/>
          </w:tcPr>
          <w:p>
            <w:r>
              <w:rPr>
                <w:b w:val="false"/>
                <w:bCs w:val="false"/>
                <w:color w:val="000000"/>
                <w:sz w:val="20"/>
                <w:szCs w:val="20"/>
              </w:rPr>
              <w:t xml:space="preserve">≥ 60% vs. manual lookup / waiting for training session</w:t>
            </w:r>
          </w:p>
        </w:tc>
      </w:tr>
      <w:tr>
        <w:tc>
          <w:tcPr>
            <w:tcW w:type="dxa" w:w="5675"/>
            <w:shd w:fill="F2F2F2" w:val="clear"/>
            <w:tcMar>
              <w:top w:type="dxa" w:w="80"/>
              <w:left w:type="dxa" w:w="120"/>
              <w:bottom w:type="dxa" w:w="80"/>
              <w:right w:type="dxa" w:w="120"/>
            </w:tcMar>
            <w:vAlign w:val="center"/>
          </w:tcPr>
          <w:p>
            <w:r>
              <w:rPr>
                <w:b w:val="false"/>
                <w:bCs w:val="false"/>
                <w:color w:val="000000"/>
                <w:sz w:val="20"/>
                <w:szCs w:val="20"/>
              </w:rPr>
              <w:t xml:space="preserve">Answer groundedness (cited to source)</w:t>
            </w:r>
          </w:p>
        </w:tc>
        <w:tc>
          <w:tcPr>
            <w:tcW w:type="dxa" w:w="3675"/>
            <w:shd w:fill="F2F2F2" w:val="clear"/>
            <w:tcMar>
              <w:top w:type="dxa" w:w="80"/>
              <w:left w:type="dxa" w:w="120"/>
              <w:bottom w:type="dxa" w:w="80"/>
              <w:right w:type="dxa" w:w="120"/>
            </w:tcMar>
            <w:vAlign w:val="center"/>
          </w:tcPr>
          <w:p>
            <w:r>
              <w:rPr>
                <w:b w:val="false"/>
                <w:bCs w:val="false"/>
                <w:color w:val="000000"/>
                <w:sz w:val="20"/>
                <w:szCs w:val="20"/>
              </w:rPr>
              <w:t xml:space="preserve">≥ 95% of answers include a valid source citation</w:t>
            </w:r>
          </w:p>
        </w:tc>
      </w:tr>
      <w:tr>
        <w:tc>
          <w:tcPr>
            <w:tcW w:type="dxa" w:w="5675"/>
            <w:tcMar>
              <w:top w:type="dxa" w:w="80"/>
              <w:left w:type="dxa" w:w="120"/>
              <w:bottom w:type="dxa" w:w="80"/>
              <w:right w:type="dxa" w:w="120"/>
            </w:tcMar>
            <w:vAlign w:val="center"/>
          </w:tcPr>
          <w:p>
            <w:r>
              <w:rPr>
                <w:b w:val="false"/>
                <w:bCs w:val="false"/>
                <w:color w:val="000000"/>
                <w:sz w:val="20"/>
                <w:szCs w:val="20"/>
              </w:rPr>
              <w:t xml:space="preserve">Companies actively using the platform monthly</w:t>
            </w:r>
          </w:p>
        </w:tc>
        <w:tc>
          <w:tcPr>
            <w:tcW w:type="dxa" w:w="3675"/>
            <w:tcMar>
              <w:top w:type="dxa" w:w="80"/>
              <w:left w:type="dxa" w:w="120"/>
              <w:bottom w:type="dxa" w:w="80"/>
              <w:right w:type="dxa" w:w="120"/>
            </w:tcMar>
            <w:vAlign w:val="center"/>
          </w:tcPr>
          <w:p>
            <w:r>
              <w:rPr>
                <w:b w:val="false"/>
                <w:bCs w:val="false"/>
                <w:color w:val="000000"/>
                <w:sz w:val="20"/>
                <w:szCs w:val="20"/>
              </w:rPr>
              <w:t xml:space="preserve">≥ 80% of the 20-company cohort within 3 months of launch</w:t>
            </w:r>
          </w:p>
        </w:tc>
      </w:tr>
      <w:tr>
        <w:tc>
          <w:tcPr>
            <w:tcW w:type="dxa" w:w="5675"/>
            <w:shd w:fill="F2F2F2" w:val="clear"/>
            <w:tcMar>
              <w:top w:type="dxa" w:w="80"/>
              <w:left w:type="dxa" w:w="120"/>
              <w:bottom w:type="dxa" w:w="80"/>
              <w:right w:type="dxa" w:w="120"/>
            </w:tcMar>
            <w:vAlign w:val="center"/>
          </w:tcPr>
          <w:p>
            <w:r>
              <w:rPr>
                <w:b w:val="false"/>
                <w:bCs w:val="false"/>
                <w:color w:val="000000"/>
                <w:sz w:val="20"/>
                <w:szCs w:val="20"/>
              </w:rPr>
              <w:t xml:space="preserve">User-reported satisfaction (executives / compliance staff)</w:t>
            </w:r>
          </w:p>
        </w:tc>
        <w:tc>
          <w:tcPr>
            <w:tcW w:type="dxa" w:w="3675"/>
            <w:shd w:fill="F2F2F2" w:val="clear"/>
            <w:tcMar>
              <w:top w:type="dxa" w:w="80"/>
              <w:left w:type="dxa" w:w="120"/>
              <w:bottom w:type="dxa" w:w="80"/>
              <w:right w:type="dxa" w:w="120"/>
            </w:tcMar>
            <w:vAlign w:val="center"/>
          </w:tcPr>
          <w:p>
            <w:r>
              <w:rPr>
                <w:b w:val="false"/>
                <w:bCs w:val="false"/>
                <w:color w:val="000000"/>
                <w:sz w:val="20"/>
                <w:szCs w:val="20"/>
              </w:rPr>
              <w:t xml:space="preserve">≥ 4/5 average rating</w:t>
            </w:r>
          </w:p>
        </w:tc>
      </w:tr>
      <w:tr>
        <w:tc>
          <w:tcPr>
            <w:tcW w:type="dxa" w:w="5675"/>
            <w:tcMar>
              <w:top w:type="dxa" w:w="80"/>
              <w:left w:type="dxa" w:w="120"/>
              <w:bottom w:type="dxa" w:w="80"/>
              <w:right w:type="dxa" w:w="120"/>
            </w:tcMar>
            <w:vAlign w:val="center"/>
          </w:tcPr>
          <w:p>
            <w:r>
              <w:rPr>
                <w:b w:val="false"/>
                <w:bCs w:val="false"/>
                <w:color w:val="000000"/>
                <w:sz w:val="20"/>
                <w:szCs w:val="20"/>
              </w:rPr>
              <w:t xml:space="preserve">Data isolation incidents</w:t>
            </w:r>
          </w:p>
        </w:tc>
        <w:tc>
          <w:tcPr>
            <w:tcW w:type="dxa" w:w="3675"/>
            <w:tcMar>
              <w:top w:type="dxa" w:w="80"/>
              <w:left w:type="dxa" w:w="120"/>
              <w:bottom w:type="dxa" w:w="80"/>
              <w:right w:type="dxa" w:w="120"/>
            </w:tcMar>
            <w:vAlign w:val="center"/>
          </w:tcPr>
          <w:p>
            <w:r>
              <w:rPr>
                <w:b w:val="false"/>
                <w:bCs w:val="false"/>
                <w:color w:val="000000"/>
                <w:sz w:val="20"/>
                <w:szCs w:val="20"/>
              </w:rPr>
              <w:t xml:space="preserve">Zero cross-company data exposure incidents</w:t>
            </w:r>
          </w:p>
        </w:tc>
      </w:tr>
    </w:tbl>
    <w:p>
      <w:pPr>
        <w:pStyle w:val="Heading1"/>
        <w:pBdr>
          <w:bottom w:val="single" w:color="1F3A5F" w:sz="6" w:space="4"/>
        </w:pBdr>
        <w:spacing w:after="200" w:before="400"/>
      </w:pPr>
      <w:r>
        <w:rPr>
          <w:b/>
          <w:bCs/>
          <w:color w:val="1F3A5F"/>
          <w:sz w:val="30"/>
          <w:szCs w:val="30"/>
        </w:rPr>
        <w:t xml:space="preserve">14. Risks and Mitigations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400"/>
        <w:gridCol w:w="4950"/>
      </w:tblGrid>
      <w:tr>
        <w:trPr>
          <w:tblHeader/>
        </w:trPr>
        <w:tc>
          <w:tcPr>
            <w:tcW w:type="dxa" w:w="4400"/>
            <w:shd w:fill="1F3A5F" w:val="clear"/>
            <w:tcMar>
              <w:top w:type="dxa" w:w="80"/>
              <w:left w:type="dxa" w:w="120"/>
              <w:bottom w:type="dxa" w:w="80"/>
              <w:right w:type="dxa" w:w="120"/>
            </w:tcMar>
            <w:vAlign w:val="center"/>
          </w:tcPr>
          <w:p>
            <w:r>
              <w:rPr>
                <w:b/>
                <w:bCs/>
                <w:color w:val="FFFFFF"/>
                <w:sz w:val="20"/>
                <w:szCs w:val="20"/>
              </w:rPr>
              <w:t xml:space="preserve">Risk</w:t>
            </w:r>
          </w:p>
        </w:tc>
        <w:tc>
          <w:tcPr>
            <w:tcW w:type="dxa" w:w="4950"/>
            <w:shd w:fill="1F3A5F" w:val="clear"/>
            <w:tcMar>
              <w:top w:type="dxa" w:w="80"/>
              <w:left w:type="dxa" w:w="120"/>
              <w:bottom w:type="dxa" w:w="80"/>
              <w:right w:type="dxa" w:w="120"/>
            </w:tcMar>
            <w:vAlign w:val="center"/>
          </w:tcPr>
          <w:p>
            <w:r>
              <w:rPr>
                <w:b/>
                <w:bCs/>
                <w:color w:val="FFFFFF"/>
                <w:sz w:val="20"/>
                <w:szCs w:val="20"/>
              </w:rPr>
              <w:t xml:space="preserve">Mitigation</w:t>
            </w:r>
          </w:p>
        </w:tc>
      </w:tr>
      <w:tr>
        <w:tc>
          <w:tcPr>
            <w:tcW w:type="dxa" w:w="4400"/>
            <w:tcMar>
              <w:top w:type="dxa" w:w="80"/>
              <w:left w:type="dxa" w:w="120"/>
              <w:bottom w:type="dxa" w:w="80"/>
              <w:right w:type="dxa" w:w="120"/>
            </w:tcMar>
            <w:vAlign w:val="center"/>
          </w:tcPr>
          <w:p>
            <w:r>
              <w:rPr>
                <w:b w:val="false"/>
                <w:bCs w:val="false"/>
                <w:color w:val="000000"/>
                <w:sz w:val="20"/>
                <w:szCs w:val="20"/>
              </w:rPr>
              <w:t xml:space="preserve">Model gives an inaccurate or outdated regulatory answer</w:t>
            </w:r>
          </w:p>
        </w:tc>
        <w:tc>
          <w:tcPr>
            <w:tcW w:type="dxa" w:w="4950"/>
            <w:tcMar>
              <w:top w:type="dxa" w:w="80"/>
              <w:left w:type="dxa" w:w="120"/>
              <w:bottom w:type="dxa" w:w="80"/>
              <w:right w:type="dxa" w:w="120"/>
            </w:tcMar>
            <w:vAlign w:val="center"/>
          </w:tcPr>
          <w:p>
            <w:r>
              <w:rPr>
                <w:b w:val="false"/>
                <w:bCs w:val="false"/>
                <w:color w:val="000000"/>
                <w:sz w:val="20"/>
                <w:szCs w:val="20"/>
              </w:rPr>
              <w:t xml:space="preserve">Strict RAG grounding with mandatory citations; human escalation path; scheduled knowledge-base refresh process.</w:t>
            </w:r>
          </w:p>
        </w:tc>
      </w:tr>
      <w:tr>
        <w:tc>
          <w:tcPr>
            <w:tcW w:type="dxa" w:w="4400"/>
            <w:shd w:fill="F2F2F2" w:val="clear"/>
            <w:tcMar>
              <w:top w:type="dxa" w:w="80"/>
              <w:left w:type="dxa" w:w="120"/>
              <w:bottom w:type="dxa" w:w="80"/>
              <w:right w:type="dxa" w:w="120"/>
            </w:tcMar>
            <w:vAlign w:val="center"/>
          </w:tcPr>
          <w:p>
            <w:r>
              <w:rPr>
                <w:b w:val="false"/>
                <w:bCs w:val="false"/>
                <w:color w:val="000000"/>
                <w:sz w:val="20"/>
                <w:szCs w:val="20"/>
              </w:rPr>
              <w:t xml:space="preserve">Cross-company data leakage</w:t>
            </w:r>
          </w:p>
        </w:tc>
        <w:tc>
          <w:tcPr>
            <w:tcW w:type="dxa" w:w="4950"/>
            <w:shd w:fill="F2F2F2" w:val="clear"/>
            <w:tcMar>
              <w:top w:type="dxa" w:w="80"/>
              <w:left w:type="dxa" w:w="120"/>
              <w:bottom w:type="dxa" w:w="80"/>
              <w:right w:type="dxa" w:w="120"/>
            </w:tcMar>
            <w:vAlign w:val="center"/>
          </w:tcPr>
          <w:p>
            <w:r>
              <w:rPr>
                <w:b w:val="false"/>
                <w:bCs w:val="false"/>
                <w:color w:val="000000"/>
                <w:sz w:val="20"/>
                <w:szCs w:val="20"/>
              </w:rPr>
              <w:t xml:space="preserve">Enforced logical/physical isolation, access-control testing, and independent security review before go-live.</w:t>
            </w:r>
          </w:p>
        </w:tc>
      </w:tr>
      <w:tr>
        <w:tc>
          <w:tcPr>
            <w:tcW w:type="dxa" w:w="4400"/>
            <w:tcMar>
              <w:top w:type="dxa" w:w="80"/>
              <w:left w:type="dxa" w:w="120"/>
              <w:bottom w:type="dxa" w:w="80"/>
              <w:right w:type="dxa" w:w="120"/>
            </w:tcMar>
            <w:vAlign w:val="center"/>
          </w:tcPr>
          <w:p>
            <w:r>
              <w:rPr>
                <w:b w:val="false"/>
                <w:bCs w:val="false"/>
                <w:color w:val="000000"/>
                <w:sz w:val="20"/>
                <w:szCs w:val="20"/>
              </w:rPr>
              <w:t xml:space="preserve">Low adoption by company staff</w:t>
            </w:r>
          </w:p>
        </w:tc>
        <w:tc>
          <w:tcPr>
            <w:tcW w:type="dxa" w:w="4950"/>
            <w:tcMar>
              <w:top w:type="dxa" w:w="80"/>
              <w:left w:type="dxa" w:w="120"/>
              <w:bottom w:type="dxa" w:w="80"/>
              <w:right w:type="dxa" w:w="120"/>
            </w:tcMar>
            <w:vAlign w:val="center"/>
          </w:tcPr>
          <w:p>
            <w:r>
              <w:rPr>
                <w:b w:val="false"/>
                <w:bCs w:val="false"/>
                <w:color w:val="000000"/>
                <w:sz w:val="20"/>
                <w:szCs w:val="20"/>
              </w:rPr>
              <w:t xml:space="preserve">Embed the tool within existing FSI/EIoD training sessions; simple onboarding; Arabic-language support.</w:t>
            </w:r>
          </w:p>
        </w:tc>
      </w:tr>
      <w:tr>
        <w:tc>
          <w:tcPr>
            <w:tcW w:type="dxa" w:w="4400"/>
            <w:shd w:fill="F2F2F2" w:val="clear"/>
            <w:tcMar>
              <w:top w:type="dxa" w:w="80"/>
              <w:left w:type="dxa" w:w="120"/>
              <w:bottom w:type="dxa" w:w="80"/>
              <w:right w:type="dxa" w:w="120"/>
            </w:tcMar>
            <w:vAlign w:val="center"/>
          </w:tcPr>
          <w:p>
            <w:r>
              <w:rPr>
                <w:b w:val="false"/>
                <w:bCs w:val="false"/>
                <w:color w:val="000000"/>
                <w:sz w:val="20"/>
                <w:szCs w:val="20"/>
              </w:rPr>
              <w:t xml:space="preserve">Regulatory sensitivity of hosting on external infrastructure</w:t>
            </w:r>
          </w:p>
        </w:tc>
        <w:tc>
          <w:tcPr>
            <w:tcW w:type="dxa" w:w="4950"/>
            <w:shd w:fill="F2F2F2" w:val="clear"/>
            <w:tcMar>
              <w:top w:type="dxa" w:w="80"/>
              <w:left w:type="dxa" w:w="120"/>
              <w:bottom w:type="dxa" w:w="80"/>
              <w:right w:type="dxa" w:w="120"/>
            </w:tcMar>
            <w:vAlign w:val="center"/>
          </w:tcPr>
          <w:p>
            <w:r>
              <w:rPr>
                <w:b w:val="false"/>
                <w:bCs w:val="false"/>
                <w:color w:val="000000"/>
                <w:sz w:val="20"/>
                <w:szCs w:val="20"/>
              </w:rPr>
              <w:t xml:space="preserve">Host on EGX/FRA-approved infrastructure or a jointly governed environment; formal data-processing agreement with the vendor.</w:t>
            </w:r>
          </w:p>
        </w:tc>
      </w:tr>
      <w:tr>
        <w:tc>
          <w:tcPr>
            <w:tcW w:type="dxa" w:w="4400"/>
            <w:tcMar>
              <w:top w:type="dxa" w:w="80"/>
              <w:left w:type="dxa" w:w="120"/>
              <w:bottom w:type="dxa" w:w="80"/>
              <w:right w:type="dxa" w:w="120"/>
            </w:tcMar>
            <w:vAlign w:val="center"/>
          </w:tcPr>
          <w:p>
            <w:r>
              <w:rPr>
                <w:b w:val="false"/>
                <w:bCs w:val="false"/>
                <w:color w:val="000000"/>
                <w:sz w:val="20"/>
                <w:szCs w:val="20"/>
              </w:rPr>
              <w:t xml:space="preserve">Scope creep toward investment/legal advice</w:t>
            </w:r>
          </w:p>
        </w:tc>
        <w:tc>
          <w:tcPr>
            <w:tcW w:type="dxa" w:w="4950"/>
            <w:tcMar>
              <w:top w:type="dxa" w:w="80"/>
              <w:left w:type="dxa" w:w="120"/>
              <w:bottom w:type="dxa" w:w="80"/>
              <w:right w:type="dxa" w:w="120"/>
            </w:tcMar>
            <w:vAlign w:val="center"/>
          </w:tcPr>
          <w:p>
            <w:r>
              <w:rPr>
                <w:b w:val="false"/>
                <w:bCs w:val="false"/>
                <w:color w:val="000000"/>
                <w:sz w:val="20"/>
                <w:szCs w:val="20"/>
              </w:rPr>
              <w:t xml:space="preserve">Clear disclaimers; system restricted to listing/governance/disclosure informational content only.</w:t>
            </w:r>
          </w:p>
        </w:tc>
      </w:tr>
    </w:tbl>
    <w:p>
      <w:pPr>
        <w:pStyle w:val="Heading1"/>
        <w:pBdr>
          <w:bottom w:val="single" w:color="1F3A5F" w:sz="6" w:space="4"/>
        </w:pBdr>
        <w:spacing w:after="200" w:before="400"/>
      </w:pPr>
      <w:r>
        <w:rPr>
          <w:b/>
          <w:bCs/>
          <w:color w:val="1F3A5F"/>
          <w:sz w:val="30"/>
          <w:szCs w:val="30"/>
        </w:rPr>
        <w:t xml:space="preserve">15. Assumptions and Dependencies</w:t>
      </w:r>
    </w:p>
    <w:p>
      <w:pPr>
        <w:pStyle w:val="ListParagraph"/>
        <w:numPr>
          <w:ilvl w:val="0"/>
          <w:numId w:val="2"/>
        </w:numPr>
        <w:spacing w:after="80" w:line="260"/>
      </w:pPr>
      <w:r>
        <w:rPr>
          <w:sz w:val="21"/>
          <w:szCs w:val="21"/>
        </w:rPr>
        <w:t xml:space="preserve">EGX and FRA will provide or validate the authoritative source documents for the shared knowledge base.</w:t>
      </w:r>
    </w:p>
    <w:p>
      <w:pPr>
        <w:pStyle w:val="ListParagraph"/>
        <w:numPr>
          <w:ilvl w:val="0"/>
          <w:numId w:val="2"/>
        </w:numPr>
        <w:spacing w:after="80" w:line="260"/>
      </w:pPr>
      <w:r>
        <w:rPr>
          <w:sz w:val="21"/>
          <w:szCs w:val="21"/>
        </w:rPr>
        <w:t xml:space="preserve">The State Ownership Policy Unit / FSI / EIoD will support onboarding of the 20 cohort companies.</w:t>
      </w:r>
    </w:p>
    <w:p>
      <w:pPr>
        <w:pStyle w:val="ListParagraph"/>
        <w:numPr>
          <w:ilvl w:val="0"/>
          <w:numId w:val="2"/>
        </w:numPr>
        <w:spacing w:after="80" w:line="260"/>
      </w:pPr>
      <w:r>
        <w:rPr>
          <w:sz w:val="21"/>
          <w:szCs w:val="21"/>
        </w:rPr>
        <w:t xml:space="preserve">A decision on hosting ownership (EGX-hosted, FRA-hosted, or vendor-hosted under contract) will be made prior to Phase 1 build.</w:t>
      </w:r>
    </w:p>
    <w:p>
      <w:pPr>
        <w:pStyle w:val="ListParagraph"/>
        <w:numPr>
          <w:ilvl w:val="0"/>
          <w:numId w:val="2"/>
        </w:numPr>
        <w:spacing w:after="80" w:line="260"/>
      </w:pPr>
      <w:r>
        <w:rPr>
          <w:sz w:val="21"/>
          <w:szCs w:val="21"/>
        </w:rPr>
        <w:t xml:space="preserve">Budget, timeline and commercial terms are addressed separately in the accompanying Business Case document.</w:t>
      </w:r>
    </w:p>
    <w:p>
      <w:pPr>
        <w:pStyle w:val="Heading1"/>
        <w:pBdr>
          <w:bottom w:val="single" w:color="1F3A5F" w:sz="6" w:space="4"/>
        </w:pBdr>
        <w:spacing w:after="200" w:before="400"/>
      </w:pPr>
      <w:r>
        <w:rPr>
          <w:b/>
          <w:bCs/>
          <w:color w:val="1F3A5F"/>
          <w:sz w:val="30"/>
          <w:szCs w:val="30"/>
        </w:rPr>
        <w:t xml:space="preserve">16. Next Steps</w:t>
      </w:r>
    </w:p>
    <w:p>
      <w:pPr>
        <w:pStyle w:val="ListParagraph"/>
        <w:numPr>
          <w:ilvl w:val="0"/>
          <w:numId w:val="2"/>
        </w:numPr>
        <w:spacing w:after="80" w:line="260"/>
      </w:pPr>
      <w:r>
        <w:rPr>
          <w:sz w:val="21"/>
          <w:szCs w:val="21"/>
        </w:rPr>
        <w:t xml:space="preserve">Review and validate this PRD with EGX listing and IT/security teams.</w:t>
      </w:r>
    </w:p>
    <w:p>
      <w:pPr>
        <w:pStyle w:val="ListParagraph"/>
        <w:numPr>
          <w:ilvl w:val="0"/>
          <w:numId w:val="2"/>
        </w:numPr>
        <w:spacing w:after="80" w:line="260"/>
      </w:pPr>
      <w:r>
        <w:rPr>
          <w:sz w:val="21"/>
          <w:szCs w:val="21"/>
        </w:rPr>
        <w:t xml:space="preserve">Confirm architecture decision (centralized Phase 1 vs. hybrid) and hosting model.</w:t>
      </w:r>
    </w:p>
    <w:p>
      <w:pPr>
        <w:pStyle w:val="ListParagraph"/>
        <w:numPr>
          <w:ilvl w:val="0"/>
          <w:numId w:val="2"/>
        </w:numPr>
        <w:spacing w:after="80" w:line="260"/>
      </w:pPr>
      <w:r>
        <w:rPr>
          <w:sz w:val="21"/>
          <w:szCs w:val="21"/>
        </w:rPr>
        <w:t xml:space="preserve">Select an initial pilot subset of the 20 companies for a proof-of-concept.</w:t>
      </w:r>
    </w:p>
    <w:p>
      <w:pPr>
        <w:pStyle w:val="ListParagraph"/>
        <w:numPr>
          <w:ilvl w:val="0"/>
          <w:numId w:val="2"/>
        </w:numPr>
        <w:spacing w:after="80" w:line="260"/>
      </w:pPr>
      <w:r>
        <w:rPr>
          <w:sz w:val="21"/>
          <w:szCs w:val="21"/>
        </w:rPr>
        <w:t xml:space="preserve">Proceed to Business Case sign-off and infrastructure procurement planning.</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Confidential — Prepared for the Egyptian Exchange (EGX)  |  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jc w:val="right"/>
    </w:pPr>
    <w:r>
      <w:rPr>
        <w:i/>
        <w:iCs/>
        <w:color w:val="595959"/>
        <w:sz w:val="16"/>
        <w:szCs w:val="16"/>
      </w:rPr>
      <w:t xml:space="preserve">Product Requirements Document — EGX Compliance Intelligence Platform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2026-07-27T19:49:56.735Z</dcterms:created>
  <dcterms:modified xsi:type="dcterms:W3CDTF">2026-07-27T19:49:56.764Z</dcterms:modified>
</cp:coreProperties>
</file>

<file path=docProps/custom.xml><?xml version="1.0" encoding="utf-8"?>
<Properties xmlns="http://schemas.openxmlformats.org/officeDocument/2006/custom-properties" xmlns:vt="http://schemas.openxmlformats.org/officeDocument/2006/docPropsVTypes"/>
</file>