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6FF3" w14:textId="77777777" w:rsidR="005056AF" w:rsidRDefault="00000000">
      <w:pPr>
        <w:spacing w:before="1600"/>
        <w:jc w:val="center"/>
      </w:pPr>
      <w:r>
        <w:rPr>
          <w:b/>
          <w:bCs/>
          <w:color w:val="1F3A5F"/>
          <w:sz w:val="44"/>
          <w:szCs w:val="44"/>
        </w:rPr>
        <w:t>BUSINESS CASE</w:t>
      </w:r>
    </w:p>
    <w:p w14:paraId="2EBCA86D" w14:textId="77777777" w:rsidR="005056AF" w:rsidRDefault="00000000">
      <w:pPr>
        <w:spacing w:before="200" w:after="100"/>
        <w:jc w:val="center"/>
      </w:pPr>
      <w:r>
        <w:rPr>
          <w:b/>
          <w:bCs/>
          <w:color w:val="9C7A2E"/>
          <w:sz w:val="32"/>
          <w:szCs w:val="32"/>
        </w:rPr>
        <w:t>EGX Compliance Intelligence Platform</w:t>
      </w:r>
    </w:p>
    <w:p w14:paraId="16962DD9" w14:textId="77777777" w:rsidR="005056AF" w:rsidRDefault="00000000">
      <w:pPr>
        <w:jc w:val="center"/>
      </w:pPr>
      <w:r>
        <w:rPr>
          <w:i/>
          <w:iCs/>
          <w:color w:val="595959"/>
          <w:sz w:val="22"/>
          <w:szCs w:val="22"/>
        </w:rPr>
        <w:t>A Centralized, Secure AI Reference Layer Supporting Government Company Listing Readiness</w:t>
      </w:r>
    </w:p>
    <w:p w14:paraId="1A69A5EA" w14:textId="77777777" w:rsidR="005056AF" w:rsidRDefault="00000000">
      <w:pPr>
        <w:spacing w:before="800"/>
        <w:jc w:val="center"/>
      </w:pPr>
      <w:r>
        <w:rPr>
          <w:sz w:val="21"/>
          <w:szCs w:val="21"/>
        </w:rPr>
        <w:t>Prepared for: Egyptian Exchange (EGX)</w:t>
      </w:r>
    </w:p>
    <w:p w14:paraId="620ED1CE" w14:textId="77777777" w:rsidR="005056AF" w:rsidRDefault="00000000">
      <w:pPr>
        <w:jc w:val="center"/>
      </w:pPr>
      <w:r>
        <w:rPr>
          <w:sz w:val="21"/>
          <w:szCs w:val="21"/>
        </w:rPr>
        <w:t>In connection with: FRA National Initiative for Government Company Listing Readiness</w:t>
      </w:r>
    </w:p>
    <w:p w14:paraId="6D93B6D5" w14:textId="77777777" w:rsidR="005056AF" w:rsidRDefault="00000000">
      <w:pPr>
        <w:jc w:val="center"/>
      </w:pPr>
      <w:r>
        <w:rPr>
          <w:sz w:val="21"/>
          <w:szCs w:val="21"/>
        </w:rPr>
        <w:t>Prepared by: Corbia Innovation Hub</w:t>
      </w:r>
    </w:p>
    <w:p w14:paraId="56D9F1E7" w14:textId="340B72F6" w:rsidR="005056AF" w:rsidRDefault="00000000">
      <w:pPr>
        <w:jc w:val="center"/>
      </w:pPr>
      <w:r>
        <w:rPr>
          <w:sz w:val="21"/>
          <w:szCs w:val="21"/>
        </w:rPr>
        <w:t>Contact: Sara Abdullah, Director, Corbia Innovation Hub</w:t>
      </w:r>
    </w:p>
    <w:p w14:paraId="022213BF" w14:textId="77777777" w:rsidR="005056AF" w:rsidRDefault="00000000">
      <w:pPr>
        <w:spacing w:before="400"/>
        <w:jc w:val="center"/>
      </w:pPr>
      <w:r>
        <w:rPr>
          <w:color w:val="595959"/>
        </w:rPr>
        <w:t>Version 1.0 (Draft for Discussion)  —  July 2026</w:t>
      </w:r>
    </w:p>
    <w:p w14:paraId="705C3E48" w14:textId="77777777" w:rsidR="005056AF" w:rsidRDefault="00000000">
      <w:r>
        <w:br w:type="page"/>
      </w:r>
    </w:p>
    <w:p w14:paraId="1DCE3D55" w14:textId="77777777" w:rsidR="005056AF" w:rsidRDefault="00000000">
      <w:pPr>
        <w:pStyle w:val="Heading1"/>
        <w:pBdr>
          <w:bottom w:val="single" w:sz="6" w:space="4" w:color="1F3A5F"/>
        </w:pBdr>
        <w:spacing w:before="400" w:after="200"/>
      </w:pPr>
      <w:bookmarkStart w:id="0" w:name="_Toc236087721"/>
      <w:r>
        <w:rPr>
          <w:b/>
          <w:bCs/>
          <w:color w:val="1F3A5F"/>
          <w:sz w:val="30"/>
          <w:szCs w:val="30"/>
        </w:rPr>
        <w:lastRenderedPageBreak/>
        <w:t>Table of Contents</w:t>
      </w:r>
      <w:bookmarkEnd w:id="0"/>
    </w:p>
    <w:sdt>
      <w:sdtPr>
        <w:alias w:val="Table of Contents"/>
        <w:id w:val="1782373745"/>
      </w:sdtPr>
      <w:sdtContent>
        <w:p w14:paraId="0C13A2F3" w14:textId="77777777" w:rsidR="00C10D4E" w:rsidRDefault="00000000">
          <w:pPr>
            <w:pStyle w:val="TOC1"/>
            <w:tabs>
              <w:tab w:val="right" w:leader="dot" w:pos="9630"/>
            </w:tabs>
            <w:rPr>
              <w:noProof/>
            </w:rPr>
          </w:pPr>
          <w:r>
            <w:fldChar w:fldCharType="begin"/>
          </w:r>
          <w:r>
            <w:instrText>TOC \h \o "1-3"</w:instrText>
          </w:r>
          <w:r>
            <w:fldChar w:fldCharType="separate"/>
          </w:r>
          <w:hyperlink w:anchor="_Toc236087721" w:history="1">
            <w:r w:rsidR="00C10D4E" w:rsidRPr="00364800">
              <w:rPr>
                <w:rStyle w:val="Hyperlink"/>
                <w:b/>
                <w:bCs/>
                <w:noProof/>
              </w:rPr>
              <w:t>Table of Contents</w:t>
            </w:r>
            <w:r w:rsidR="00C10D4E">
              <w:rPr>
                <w:noProof/>
              </w:rPr>
              <w:tab/>
            </w:r>
            <w:r w:rsidR="00C10D4E">
              <w:rPr>
                <w:noProof/>
              </w:rPr>
              <w:fldChar w:fldCharType="begin"/>
            </w:r>
            <w:r w:rsidR="00C10D4E">
              <w:rPr>
                <w:noProof/>
              </w:rPr>
              <w:instrText xml:space="preserve"> PAGEREF _Toc236087721 \h </w:instrText>
            </w:r>
            <w:r w:rsidR="00C10D4E">
              <w:rPr>
                <w:noProof/>
              </w:rPr>
            </w:r>
            <w:r w:rsidR="00C10D4E">
              <w:rPr>
                <w:noProof/>
              </w:rPr>
              <w:fldChar w:fldCharType="separate"/>
            </w:r>
            <w:r w:rsidR="00C10D4E">
              <w:rPr>
                <w:noProof/>
              </w:rPr>
              <w:t>1</w:t>
            </w:r>
            <w:r w:rsidR="00C10D4E">
              <w:rPr>
                <w:noProof/>
              </w:rPr>
              <w:fldChar w:fldCharType="end"/>
            </w:r>
          </w:hyperlink>
        </w:p>
        <w:p w14:paraId="685EF92D" w14:textId="77777777" w:rsidR="00C10D4E" w:rsidRDefault="00C10D4E">
          <w:pPr>
            <w:pStyle w:val="TOC1"/>
            <w:tabs>
              <w:tab w:val="right" w:leader="dot" w:pos="9630"/>
            </w:tabs>
            <w:rPr>
              <w:noProof/>
            </w:rPr>
          </w:pPr>
          <w:hyperlink w:anchor="_Toc236087722" w:history="1">
            <w:r w:rsidRPr="00364800">
              <w:rPr>
                <w:rStyle w:val="Hyperlink"/>
                <w:b/>
                <w:bCs/>
                <w:noProof/>
              </w:rPr>
              <w:t>1. Document Control</w:t>
            </w:r>
            <w:r>
              <w:rPr>
                <w:noProof/>
              </w:rPr>
              <w:tab/>
            </w:r>
            <w:r>
              <w:rPr>
                <w:noProof/>
              </w:rPr>
              <w:fldChar w:fldCharType="begin"/>
            </w:r>
            <w:r>
              <w:rPr>
                <w:noProof/>
              </w:rPr>
              <w:instrText xml:space="preserve"> PAGEREF _Toc236087722 \h </w:instrText>
            </w:r>
            <w:r>
              <w:rPr>
                <w:noProof/>
              </w:rPr>
            </w:r>
            <w:r>
              <w:rPr>
                <w:noProof/>
              </w:rPr>
              <w:fldChar w:fldCharType="separate"/>
            </w:r>
            <w:r>
              <w:rPr>
                <w:noProof/>
              </w:rPr>
              <w:t>1</w:t>
            </w:r>
            <w:r>
              <w:rPr>
                <w:noProof/>
              </w:rPr>
              <w:fldChar w:fldCharType="end"/>
            </w:r>
          </w:hyperlink>
        </w:p>
        <w:p w14:paraId="1E8A1655" w14:textId="77777777" w:rsidR="00C10D4E" w:rsidRDefault="00C10D4E">
          <w:pPr>
            <w:pStyle w:val="TOC1"/>
            <w:tabs>
              <w:tab w:val="right" w:leader="dot" w:pos="9630"/>
            </w:tabs>
            <w:rPr>
              <w:noProof/>
            </w:rPr>
          </w:pPr>
          <w:hyperlink w:anchor="_Toc236087723" w:history="1">
            <w:r w:rsidRPr="00364800">
              <w:rPr>
                <w:rStyle w:val="Hyperlink"/>
                <w:b/>
                <w:bCs/>
                <w:noProof/>
              </w:rPr>
              <w:t>2. Executive Summary</w:t>
            </w:r>
            <w:r>
              <w:rPr>
                <w:noProof/>
              </w:rPr>
              <w:tab/>
            </w:r>
            <w:r>
              <w:rPr>
                <w:noProof/>
              </w:rPr>
              <w:fldChar w:fldCharType="begin"/>
            </w:r>
            <w:r>
              <w:rPr>
                <w:noProof/>
              </w:rPr>
              <w:instrText xml:space="preserve"> PAGEREF _Toc236087723 \h </w:instrText>
            </w:r>
            <w:r>
              <w:rPr>
                <w:noProof/>
              </w:rPr>
            </w:r>
            <w:r>
              <w:rPr>
                <w:noProof/>
              </w:rPr>
              <w:fldChar w:fldCharType="separate"/>
            </w:r>
            <w:r>
              <w:rPr>
                <w:noProof/>
              </w:rPr>
              <w:t>1</w:t>
            </w:r>
            <w:r>
              <w:rPr>
                <w:noProof/>
              </w:rPr>
              <w:fldChar w:fldCharType="end"/>
            </w:r>
          </w:hyperlink>
        </w:p>
        <w:p w14:paraId="32876C55" w14:textId="77777777" w:rsidR="00C10D4E" w:rsidRDefault="00C10D4E">
          <w:pPr>
            <w:pStyle w:val="TOC1"/>
            <w:tabs>
              <w:tab w:val="right" w:leader="dot" w:pos="9630"/>
            </w:tabs>
            <w:rPr>
              <w:noProof/>
            </w:rPr>
          </w:pPr>
          <w:hyperlink w:anchor="_Toc236087724" w:history="1">
            <w:r w:rsidRPr="00364800">
              <w:rPr>
                <w:rStyle w:val="Hyperlink"/>
                <w:b/>
                <w:bCs/>
                <w:noProof/>
              </w:rPr>
              <w:t>3. Strategic Alignment</w:t>
            </w:r>
            <w:r>
              <w:rPr>
                <w:noProof/>
              </w:rPr>
              <w:tab/>
            </w:r>
            <w:r>
              <w:rPr>
                <w:noProof/>
              </w:rPr>
              <w:fldChar w:fldCharType="begin"/>
            </w:r>
            <w:r>
              <w:rPr>
                <w:noProof/>
              </w:rPr>
              <w:instrText xml:space="preserve"> PAGEREF _Toc236087724 \h </w:instrText>
            </w:r>
            <w:r>
              <w:rPr>
                <w:noProof/>
              </w:rPr>
            </w:r>
            <w:r>
              <w:rPr>
                <w:noProof/>
              </w:rPr>
              <w:fldChar w:fldCharType="separate"/>
            </w:r>
            <w:r>
              <w:rPr>
                <w:noProof/>
              </w:rPr>
              <w:t>1</w:t>
            </w:r>
            <w:r>
              <w:rPr>
                <w:noProof/>
              </w:rPr>
              <w:fldChar w:fldCharType="end"/>
            </w:r>
          </w:hyperlink>
        </w:p>
        <w:p w14:paraId="1053CE3A" w14:textId="77777777" w:rsidR="00C10D4E" w:rsidRDefault="00C10D4E">
          <w:pPr>
            <w:pStyle w:val="TOC1"/>
            <w:tabs>
              <w:tab w:val="right" w:leader="dot" w:pos="9630"/>
            </w:tabs>
            <w:rPr>
              <w:noProof/>
            </w:rPr>
          </w:pPr>
          <w:hyperlink w:anchor="_Toc236087725" w:history="1">
            <w:r w:rsidRPr="00364800">
              <w:rPr>
                <w:rStyle w:val="Hyperlink"/>
                <w:b/>
                <w:bCs/>
                <w:noProof/>
              </w:rPr>
              <w:t>4. The Opportunity</w:t>
            </w:r>
            <w:r>
              <w:rPr>
                <w:noProof/>
              </w:rPr>
              <w:tab/>
            </w:r>
            <w:r>
              <w:rPr>
                <w:noProof/>
              </w:rPr>
              <w:fldChar w:fldCharType="begin"/>
            </w:r>
            <w:r>
              <w:rPr>
                <w:noProof/>
              </w:rPr>
              <w:instrText xml:space="preserve"> PAGEREF _Toc236087725 \h </w:instrText>
            </w:r>
            <w:r>
              <w:rPr>
                <w:noProof/>
              </w:rPr>
            </w:r>
            <w:r>
              <w:rPr>
                <w:noProof/>
              </w:rPr>
              <w:fldChar w:fldCharType="separate"/>
            </w:r>
            <w:r>
              <w:rPr>
                <w:noProof/>
              </w:rPr>
              <w:t>1</w:t>
            </w:r>
            <w:r>
              <w:rPr>
                <w:noProof/>
              </w:rPr>
              <w:fldChar w:fldCharType="end"/>
            </w:r>
          </w:hyperlink>
        </w:p>
        <w:p w14:paraId="7A1B3646" w14:textId="77777777" w:rsidR="00C10D4E" w:rsidRDefault="00C10D4E">
          <w:pPr>
            <w:pStyle w:val="TOC1"/>
            <w:tabs>
              <w:tab w:val="right" w:leader="dot" w:pos="9630"/>
            </w:tabs>
            <w:rPr>
              <w:noProof/>
            </w:rPr>
          </w:pPr>
          <w:hyperlink w:anchor="_Toc236087726" w:history="1">
            <w:r w:rsidRPr="00364800">
              <w:rPr>
                <w:rStyle w:val="Hyperlink"/>
                <w:b/>
                <w:bCs/>
                <w:noProof/>
              </w:rPr>
              <w:t>5. Value Proposition</w:t>
            </w:r>
            <w:r>
              <w:rPr>
                <w:noProof/>
              </w:rPr>
              <w:tab/>
            </w:r>
            <w:r>
              <w:rPr>
                <w:noProof/>
              </w:rPr>
              <w:fldChar w:fldCharType="begin"/>
            </w:r>
            <w:r>
              <w:rPr>
                <w:noProof/>
              </w:rPr>
              <w:instrText xml:space="preserve"> PAGEREF _Toc236087726 \h </w:instrText>
            </w:r>
            <w:r>
              <w:rPr>
                <w:noProof/>
              </w:rPr>
            </w:r>
            <w:r>
              <w:rPr>
                <w:noProof/>
              </w:rPr>
              <w:fldChar w:fldCharType="separate"/>
            </w:r>
            <w:r>
              <w:rPr>
                <w:noProof/>
              </w:rPr>
              <w:t>1</w:t>
            </w:r>
            <w:r>
              <w:rPr>
                <w:noProof/>
              </w:rPr>
              <w:fldChar w:fldCharType="end"/>
            </w:r>
          </w:hyperlink>
        </w:p>
        <w:p w14:paraId="00FE05E8" w14:textId="77777777" w:rsidR="00C10D4E" w:rsidRDefault="00C10D4E">
          <w:pPr>
            <w:pStyle w:val="TOC1"/>
            <w:tabs>
              <w:tab w:val="right" w:leader="dot" w:pos="9630"/>
            </w:tabs>
            <w:rPr>
              <w:noProof/>
            </w:rPr>
          </w:pPr>
          <w:hyperlink w:anchor="_Toc236087727" w:history="1">
            <w:r w:rsidRPr="00364800">
              <w:rPr>
                <w:rStyle w:val="Hyperlink"/>
                <w:b/>
                <w:bCs/>
                <w:noProof/>
              </w:rPr>
              <w:t>6. Architecture Options and Recommendation</w:t>
            </w:r>
            <w:r>
              <w:rPr>
                <w:noProof/>
              </w:rPr>
              <w:tab/>
            </w:r>
            <w:r>
              <w:rPr>
                <w:noProof/>
              </w:rPr>
              <w:fldChar w:fldCharType="begin"/>
            </w:r>
            <w:r>
              <w:rPr>
                <w:noProof/>
              </w:rPr>
              <w:instrText xml:space="preserve"> PAGEREF _Toc236087727 \h </w:instrText>
            </w:r>
            <w:r>
              <w:rPr>
                <w:noProof/>
              </w:rPr>
            </w:r>
            <w:r>
              <w:rPr>
                <w:noProof/>
              </w:rPr>
              <w:fldChar w:fldCharType="separate"/>
            </w:r>
            <w:r>
              <w:rPr>
                <w:noProof/>
              </w:rPr>
              <w:t>1</w:t>
            </w:r>
            <w:r>
              <w:rPr>
                <w:noProof/>
              </w:rPr>
              <w:fldChar w:fldCharType="end"/>
            </w:r>
          </w:hyperlink>
        </w:p>
        <w:p w14:paraId="2C354D1B" w14:textId="77777777" w:rsidR="00C10D4E" w:rsidRDefault="00C10D4E">
          <w:pPr>
            <w:pStyle w:val="TOC2"/>
            <w:tabs>
              <w:tab w:val="right" w:leader="dot" w:pos="9630"/>
            </w:tabs>
            <w:rPr>
              <w:noProof/>
            </w:rPr>
          </w:pPr>
          <w:hyperlink w:anchor="_Toc236087728" w:history="1">
            <w:r w:rsidRPr="00364800">
              <w:rPr>
                <w:rStyle w:val="Hyperlink"/>
                <w:b/>
                <w:bCs/>
                <w:noProof/>
              </w:rPr>
              <w:t>Option A — Centralized Hub (Recommended for Phase 1)</w:t>
            </w:r>
            <w:r>
              <w:rPr>
                <w:noProof/>
              </w:rPr>
              <w:tab/>
            </w:r>
            <w:r>
              <w:rPr>
                <w:noProof/>
              </w:rPr>
              <w:fldChar w:fldCharType="begin"/>
            </w:r>
            <w:r>
              <w:rPr>
                <w:noProof/>
              </w:rPr>
              <w:instrText xml:space="preserve"> PAGEREF _Toc236087728 \h </w:instrText>
            </w:r>
            <w:r>
              <w:rPr>
                <w:noProof/>
              </w:rPr>
            </w:r>
            <w:r>
              <w:rPr>
                <w:noProof/>
              </w:rPr>
              <w:fldChar w:fldCharType="separate"/>
            </w:r>
            <w:r>
              <w:rPr>
                <w:noProof/>
              </w:rPr>
              <w:t>1</w:t>
            </w:r>
            <w:r>
              <w:rPr>
                <w:noProof/>
              </w:rPr>
              <w:fldChar w:fldCharType="end"/>
            </w:r>
          </w:hyperlink>
        </w:p>
        <w:p w14:paraId="13DBC4A7" w14:textId="77777777" w:rsidR="00C10D4E" w:rsidRDefault="00C10D4E">
          <w:pPr>
            <w:pStyle w:val="TOC2"/>
            <w:tabs>
              <w:tab w:val="right" w:leader="dot" w:pos="9630"/>
            </w:tabs>
            <w:rPr>
              <w:noProof/>
            </w:rPr>
          </w:pPr>
          <w:hyperlink w:anchor="_Toc236087729" w:history="1">
            <w:r w:rsidRPr="00364800">
              <w:rPr>
                <w:rStyle w:val="Hyperlink"/>
                <w:b/>
                <w:bCs/>
                <w:noProof/>
              </w:rPr>
              <w:t>Option B — Per-Company Dedicated Instances</w:t>
            </w:r>
            <w:r>
              <w:rPr>
                <w:noProof/>
              </w:rPr>
              <w:tab/>
            </w:r>
            <w:r>
              <w:rPr>
                <w:noProof/>
              </w:rPr>
              <w:fldChar w:fldCharType="begin"/>
            </w:r>
            <w:r>
              <w:rPr>
                <w:noProof/>
              </w:rPr>
              <w:instrText xml:space="preserve"> PAGEREF _Toc236087729 \h </w:instrText>
            </w:r>
            <w:r>
              <w:rPr>
                <w:noProof/>
              </w:rPr>
            </w:r>
            <w:r>
              <w:rPr>
                <w:noProof/>
              </w:rPr>
              <w:fldChar w:fldCharType="separate"/>
            </w:r>
            <w:r>
              <w:rPr>
                <w:noProof/>
              </w:rPr>
              <w:t>1</w:t>
            </w:r>
            <w:r>
              <w:rPr>
                <w:noProof/>
              </w:rPr>
              <w:fldChar w:fldCharType="end"/>
            </w:r>
          </w:hyperlink>
        </w:p>
        <w:p w14:paraId="7113F05A" w14:textId="77777777" w:rsidR="00C10D4E" w:rsidRDefault="00C10D4E">
          <w:pPr>
            <w:pStyle w:val="TOC2"/>
            <w:tabs>
              <w:tab w:val="right" w:leader="dot" w:pos="9630"/>
            </w:tabs>
            <w:rPr>
              <w:noProof/>
            </w:rPr>
          </w:pPr>
          <w:hyperlink w:anchor="_Toc236087730" w:history="1">
            <w:r w:rsidRPr="00364800">
              <w:rPr>
                <w:rStyle w:val="Hyperlink"/>
                <w:b/>
                <w:bCs/>
                <w:noProof/>
              </w:rPr>
              <w:t>Recommendation</w:t>
            </w:r>
            <w:r>
              <w:rPr>
                <w:noProof/>
              </w:rPr>
              <w:tab/>
            </w:r>
            <w:r>
              <w:rPr>
                <w:noProof/>
              </w:rPr>
              <w:fldChar w:fldCharType="begin"/>
            </w:r>
            <w:r>
              <w:rPr>
                <w:noProof/>
              </w:rPr>
              <w:instrText xml:space="preserve"> PAGEREF _Toc236087730 \h </w:instrText>
            </w:r>
            <w:r>
              <w:rPr>
                <w:noProof/>
              </w:rPr>
            </w:r>
            <w:r>
              <w:rPr>
                <w:noProof/>
              </w:rPr>
              <w:fldChar w:fldCharType="separate"/>
            </w:r>
            <w:r>
              <w:rPr>
                <w:noProof/>
              </w:rPr>
              <w:t>1</w:t>
            </w:r>
            <w:r>
              <w:rPr>
                <w:noProof/>
              </w:rPr>
              <w:fldChar w:fldCharType="end"/>
            </w:r>
          </w:hyperlink>
        </w:p>
        <w:p w14:paraId="24F89F4D" w14:textId="77777777" w:rsidR="00C10D4E" w:rsidRDefault="00C10D4E">
          <w:pPr>
            <w:pStyle w:val="TOC1"/>
            <w:tabs>
              <w:tab w:val="right" w:leader="dot" w:pos="9630"/>
            </w:tabs>
            <w:rPr>
              <w:noProof/>
            </w:rPr>
          </w:pPr>
          <w:hyperlink w:anchor="_Toc236087731" w:history="1">
            <w:r w:rsidRPr="00364800">
              <w:rPr>
                <w:rStyle w:val="Hyperlink"/>
                <w:b/>
                <w:bCs/>
                <w:noProof/>
              </w:rPr>
              <w:t>7. Indicative Cost Framework</w:t>
            </w:r>
            <w:r>
              <w:rPr>
                <w:noProof/>
              </w:rPr>
              <w:tab/>
            </w:r>
            <w:r>
              <w:rPr>
                <w:noProof/>
              </w:rPr>
              <w:fldChar w:fldCharType="begin"/>
            </w:r>
            <w:r>
              <w:rPr>
                <w:noProof/>
              </w:rPr>
              <w:instrText xml:space="preserve"> PAGEREF _Toc236087731 \h </w:instrText>
            </w:r>
            <w:r>
              <w:rPr>
                <w:noProof/>
              </w:rPr>
            </w:r>
            <w:r>
              <w:rPr>
                <w:noProof/>
              </w:rPr>
              <w:fldChar w:fldCharType="separate"/>
            </w:r>
            <w:r>
              <w:rPr>
                <w:noProof/>
              </w:rPr>
              <w:t>1</w:t>
            </w:r>
            <w:r>
              <w:rPr>
                <w:noProof/>
              </w:rPr>
              <w:fldChar w:fldCharType="end"/>
            </w:r>
          </w:hyperlink>
        </w:p>
        <w:p w14:paraId="71040CBC" w14:textId="77777777" w:rsidR="00C10D4E" w:rsidRDefault="00C10D4E">
          <w:pPr>
            <w:pStyle w:val="TOC1"/>
            <w:tabs>
              <w:tab w:val="right" w:leader="dot" w:pos="9630"/>
            </w:tabs>
            <w:rPr>
              <w:noProof/>
            </w:rPr>
          </w:pPr>
          <w:hyperlink w:anchor="_Toc236087732" w:history="1">
            <w:r w:rsidRPr="00364800">
              <w:rPr>
                <w:rStyle w:val="Hyperlink"/>
                <w:b/>
                <w:bCs/>
                <w:noProof/>
              </w:rPr>
              <w:t>8. Implementation Roadmap</w:t>
            </w:r>
            <w:r>
              <w:rPr>
                <w:noProof/>
              </w:rPr>
              <w:tab/>
            </w:r>
            <w:r>
              <w:rPr>
                <w:noProof/>
              </w:rPr>
              <w:fldChar w:fldCharType="begin"/>
            </w:r>
            <w:r>
              <w:rPr>
                <w:noProof/>
              </w:rPr>
              <w:instrText xml:space="preserve"> PAGEREF _Toc236087732 \h </w:instrText>
            </w:r>
            <w:r>
              <w:rPr>
                <w:noProof/>
              </w:rPr>
            </w:r>
            <w:r>
              <w:rPr>
                <w:noProof/>
              </w:rPr>
              <w:fldChar w:fldCharType="separate"/>
            </w:r>
            <w:r>
              <w:rPr>
                <w:noProof/>
              </w:rPr>
              <w:t>1</w:t>
            </w:r>
            <w:r>
              <w:rPr>
                <w:noProof/>
              </w:rPr>
              <w:fldChar w:fldCharType="end"/>
            </w:r>
          </w:hyperlink>
        </w:p>
        <w:p w14:paraId="4369783D" w14:textId="77777777" w:rsidR="00C10D4E" w:rsidRDefault="00C10D4E">
          <w:pPr>
            <w:pStyle w:val="TOC1"/>
            <w:tabs>
              <w:tab w:val="right" w:leader="dot" w:pos="9630"/>
            </w:tabs>
            <w:rPr>
              <w:noProof/>
            </w:rPr>
          </w:pPr>
          <w:hyperlink w:anchor="_Toc236087733" w:history="1">
            <w:r w:rsidRPr="00364800">
              <w:rPr>
                <w:rStyle w:val="Hyperlink"/>
                <w:b/>
                <w:bCs/>
                <w:noProof/>
              </w:rPr>
              <w:t>9. Governance and Partnership Model</w:t>
            </w:r>
            <w:r>
              <w:rPr>
                <w:noProof/>
              </w:rPr>
              <w:tab/>
            </w:r>
            <w:r>
              <w:rPr>
                <w:noProof/>
              </w:rPr>
              <w:fldChar w:fldCharType="begin"/>
            </w:r>
            <w:r>
              <w:rPr>
                <w:noProof/>
              </w:rPr>
              <w:instrText xml:space="preserve"> PAGEREF _Toc236087733 \h </w:instrText>
            </w:r>
            <w:r>
              <w:rPr>
                <w:noProof/>
              </w:rPr>
            </w:r>
            <w:r>
              <w:rPr>
                <w:noProof/>
              </w:rPr>
              <w:fldChar w:fldCharType="separate"/>
            </w:r>
            <w:r>
              <w:rPr>
                <w:noProof/>
              </w:rPr>
              <w:t>1</w:t>
            </w:r>
            <w:r>
              <w:rPr>
                <w:noProof/>
              </w:rPr>
              <w:fldChar w:fldCharType="end"/>
            </w:r>
          </w:hyperlink>
        </w:p>
        <w:p w14:paraId="4036A463" w14:textId="77777777" w:rsidR="00C10D4E" w:rsidRDefault="00C10D4E">
          <w:pPr>
            <w:pStyle w:val="TOC1"/>
            <w:tabs>
              <w:tab w:val="right" w:leader="dot" w:pos="9630"/>
            </w:tabs>
            <w:rPr>
              <w:noProof/>
            </w:rPr>
          </w:pPr>
          <w:hyperlink w:anchor="_Toc236087734" w:history="1">
            <w:r w:rsidRPr="00364800">
              <w:rPr>
                <w:rStyle w:val="Hyperlink"/>
                <w:b/>
                <w:bCs/>
                <w:noProof/>
              </w:rPr>
              <w:t>10. Risks and Mitigations</w:t>
            </w:r>
            <w:r>
              <w:rPr>
                <w:noProof/>
              </w:rPr>
              <w:tab/>
            </w:r>
            <w:r>
              <w:rPr>
                <w:noProof/>
              </w:rPr>
              <w:fldChar w:fldCharType="begin"/>
            </w:r>
            <w:r>
              <w:rPr>
                <w:noProof/>
              </w:rPr>
              <w:instrText xml:space="preserve"> PAGEREF _Toc236087734 \h </w:instrText>
            </w:r>
            <w:r>
              <w:rPr>
                <w:noProof/>
              </w:rPr>
            </w:r>
            <w:r>
              <w:rPr>
                <w:noProof/>
              </w:rPr>
              <w:fldChar w:fldCharType="separate"/>
            </w:r>
            <w:r>
              <w:rPr>
                <w:noProof/>
              </w:rPr>
              <w:t>1</w:t>
            </w:r>
            <w:r>
              <w:rPr>
                <w:noProof/>
              </w:rPr>
              <w:fldChar w:fldCharType="end"/>
            </w:r>
          </w:hyperlink>
        </w:p>
        <w:p w14:paraId="0B4D36D8" w14:textId="77777777" w:rsidR="00C10D4E" w:rsidRDefault="00C10D4E">
          <w:pPr>
            <w:pStyle w:val="TOC1"/>
            <w:tabs>
              <w:tab w:val="right" w:leader="dot" w:pos="9630"/>
            </w:tabs>
            <w:rPr>
              <w:noProof/>
            </w:rPr>
          </w:pPr>
          <w:hyperlink w:anchor="_Toc236087735" w:history="1">
            <w:r w:rsidRPr="00364800">
              <w:rPr>
                <w:rStyle w:val="Hyperlink"/>
                <w:b/>
                <w:bCs/>
                <w:noProof/>
              </w:rPr>
              <w:t>11. Expected Return and Success Measures</w:t>
            </w:r>
            <w:r>
              <w:rPr>
                <w:noProof/>
              </w:rPr>
              <w:tab/>
            </w:r>
            <w:r>
              <w:rPr>
                <w:noProof/>
              </w:rPr>
              <w:fldChar w:fldCharType="begin"/>
            </w:r>
            <w:r>
              <w:rPr>
                <w:noProof/>
              </w:rPr>
              <w:instrText xml:space="preserve"> PAGEREF _Toc236087735 \h </w:instrText>
            </w:r>
            <w:r>
              <w:rPr>
                <w:noProof/>
              </w:rPr>
            </w:r>
            <w:r>
              <w:rPr>
                <w:noProof/>
              </w:rPr>
              <w:fldChar w:fldCharType="separate"/>
            </w:r>
            <w:r>
              <w:rPr>
                <w:noProof/>
              </w:rPr>
              <w:t>1</w:t>
            </w:r>
            <w:r>
              <w:rPr>
                <w:noProof/>
              </w:rPr>
              <w:fldChar w:fldCharType="end"/>
            </w:r>
          </w:hyperlink>
        </w:p>
        <w:p w14:paraId="2C3DBDE2" w14:textId="77777777" w:rsidR="00C10D4E" w:rsidRDefault="00C10D4E">
          <w:pPr>
            <w:pStyle w:val="TOC1"/>
            <w:tabs>
              <w:tab w:val="right" w:leader="dot" w:pos="9630"/>
            </w:tabs>
            <w:rPr>
              <w:noProof/>
            </w:rPr>
          </w:pPr>
          <w:hyperlink w:anchor="_Toc236087736" w:history="1">
            <w:r w:rsidRPr="00364800">
              <w:rPr>
                <w:rStyle w:val="Hyperlink"/>
                <w:b/>
                <w:bCs/>
                <w:noProof/>
              </w:rPr>
              <w:t>12. Recommendation and Next Steps</w:t>
            </w:r>
            <w:r>
              <w:rPr>
                <w:noProof/>
              </w:rPr>
              <w:tab/>
            </w:r>
            <w:r>
              <w:rPr>
                <w:noProof/>
              </w:rPr>
              <w:fldChar w:fldCharType="begin"/>
            </w:r>
            <w:r>
              <w:rPr>
                <w:noProof/>
              </w:rPr>
              <w:instrText xml:space="preserve"> PAGEREF _Toc236087736 \h </w:instrText>
            </w:r>
            <w:r>
              <w:rPr>
                <w:noProof/>
              </w:rPr>
            </w:r>
            <w:r>
              <w:rPr>
                <w:noProof/>
              </w:rPr>
              <w:fldChar w:fldCharType="separate"/>
            </w:r>
            <w:r>
              <w:rPr>
                <w:noProof/>
              </w:rPr>
              <w:t>1</w:t>
            </w:r>
            <w:r>
              <w:rPr>
                <w:noProof/>
              </w:rPr>
              <w:fldChar w:fldCharType="end"/>
            </w:r>
          </w:hyperlink>
        </w:p>
        <w:p w14:paraId="57AA5088" w14:textId="77777777" w:rsidR="005056AF" w:rsidRDefault="00000000">
          <w:r>
            <w:fldChar w:fldCharType="end"/>
          </w:r>
        </w:p>
      </w:sdtContent>
    </w:sdt>
    <w:p w14:paraId="3BE04B8C" w14:textId="77777777" w:rsidR="005056AF" w:rsidRDefault="00000000">
      <w:r>
        <w:br w:type="page"/>
      </w:r>
    </w:p>
    <w:p w14:paraId="26BF010B" w14:textId="77777777" w:rsidR="005056AF" w:rsidRDefault="00000000">
      <w:pPr>
        <w:pStyle w:val="Heading1"/>
        <w:pBdr>
          <w:bottom w:val="single" w:sz="6" w:space="4" w:color="1F3A5F"/>
        </w:pBdr>
        <w:spacing w:before="400" w:after="200"/>
      </w:pPr>
      <w:bookmarkStart w:id="1" w:name="_Toc236087722"/>
      <w:r>
        <w:rPr>
          <w:b/>
          <w:bCs/>
          <w:color w:val="1F3A5F"/>
          <w:sz w:val="30"/>
          <w:szCs w:val="30"/>
        </w:rPr>
        <w:lastRenderedPageBreak/>
        <w:t>1. Document Control</w:t>
      </w:r>
      <w:bookmarkEnd w:id="1"/>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5056AF" w14:paraId="4A9B739B"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0897CBE8" w14:textId="77777777" w:rsidR="005056AF" w:rsidRDefault="00000000">
            <w:r>
              <w:rPr>
                <w:b/>
                <w:bCs/>
                <w:color w:val="1F3A5F"/>
              </w:rPr>
              <w:t>Document Title</w:t>
            </w:r>
          </w:p>
        </w:tc>
        <w:tc>
          <w:tcPr>
            <w:tcW w:w="6550" w:type="dxa"/>
            <w:tcMar>
              <w:top w:w="80" w:type="dxa"/>
              <w:left w:w="120" w:type="dxa"/>
              <w:bottom w:w="80" w:type="dxa"/>
              <w:right w:w="120" w:type="dxa"/>
            </w:tcMar>
            <w:vAlign w:val="center"/>
          </w:tcPr>
          <w:p w14:paraId="42762CA4" w14:textId="77777777" w:rsidR="005056AF" w:rsidRDefault="00000000">
            <w:r>
              <w:rPr>
                <w:color w:val="000000"/>
              </w:rPr>
              <w:t>Business Case — EGX Compliance Intelligence Platform</w:t>
            </w:r>
          </w:p>
        </w:tc>
      </w:tr>
      <w:tr w:rsidR="005056AF" w14:paraId="5D4D7E44"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48AEEDF4" w14:textId="77777777" w:rsidR="005056AF" w:rsidRDefault="00000000">
            <w:r>
              <w:rPr>
                <w:b/>
                <w:bCs/>
                <w:color w:val="1F3A5F"/>
              </w:rPr>
              <w:t>Prepared For</w:t>
            </w:r>
          </w:p>
        </w:tc>
        <w:tc>
          <w:tcPr>
            <w:tcW w:w="6550" w:type="dxa"/>
            <w:tcMar>
              <w:top w:w="80" w:type="dxa"/>
              <w:left w:w="120" w:type="dxa"/>
              <w:bottom w:w="80" w:type="dxa"/>
              <w:right w:w="120" w:type="dxa"/>
            </w:tcMar>
            <w:vAlign w:val="center"/>
          </w:tcPr>
          <w:p w14:paraId="79EB9203" w14:textId="77777777" w:rsidR="005056AF" w:rsidRDefault="00000000">
            <w:r>
              <w:rPr>
                <w:color w:val="000000"/>
              </w:rPr>
              <w:t>Egyptian Exchange (EGX)</w:t>
            </w:r>
          </w:p>
        </w:tc>
      </w:tr>
      <w:tr w:rsidR="005056AF" w14:paraId="264458B4"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00F1D63E" w14:textId="77777777" w:rsidR="005056AF" w:rsidRDefault="00000000">
            <w:r>
              <w:rPr>
                <w:b/>
                <w:bCs/>
                <w:color w:val="1F3A5F"/>
              </w:rPr>
              <w:t>Prepared By</w:t>
            </w:r>
          </w:p>
        </w:tc>
        <w:tc>
          <w:tcPr>
            <w:tcW w:w="6550" w:type="dxa"/>
            <w:tcMar>
              <w:top w:w="80" w:type="dxa"/>
              <w:left w:w="120" w:type="dxa"/>
              <w:bottom w:w="80" w:type="dxa"/>
              <w:right w:w="120" w:type="dxa"/>
            </w:tcMar>
            <w:vAlign w:val="center"/>
          </w:tcPr>
          <w:p w14:paraId="58B4AC57" w14:textId="77777777" w:rsidR="005056AF" w:rsidRDefault="00000000">
            <w:r>
              <w:rPr>
                <w:color w:val="000000"/>
              </w:rPr>
              <w:t>Corbia Innovation Hub — Sadra Abdullah, Director</w:t>
            </w:r>
          </w:p>
        </w:tc>
      </w:tr>
      <w:tr w:rsidR="005056AF" w14:paraId="424B3FD9"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270BC131" w14:textId="77777777" w:rsidR="005056AF" w:rsidRDefault="00000000">
            <w:r>
              <w:rPr>
                <w:b/>
                <w:bCs/>
                <w:color w:val="1F3A5F"/>
              </w:rPr>
              <w:t>Companion Document</w:t>
            </w:r>
          </w:p>
        </w:tc>
        <w:tc>
          <w:tcPr>
            <w:tcW w:w="6550" w:type="dxa"/>
            <w:tcMar>
              <w:top w:w="80" w:type="dxa"/>
              <w:left w:w="120" w:type="dxa"/>
              <w:bottom w:w="80" w:type="dxa"/>
              <w:right w:w="120" w:type="dxa"/>
            </w:tcMar>
            <w:vAlign w:val="center"/>
          </w:tcPr>
          <w:p w14:paraId="08FF3970" w14:textId="77777777" w:rsidR="005056AF" w:rsidRDefault="00000000">
            <w:r>
              <w:rPr>
                <w:color w:val="000000"/>
              </w:rPr>
              <w:t>PRD — EGX Compliance Intelligence Platform (v1.0)</w:t>
            </w:r>
          </w:p>
        </w:tc>
      </w:tr>
      <w:tr w:rsidR="005056AF" w14:paraId="64196929"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5BDD5095" w14:textId="77777777" w:rsidR="005056AF" w:rsidRDefault="00000000">
            <w:r>
              <w:rPr>
                <w:b/>
                <w:bCs/>
                <w:color w:val="1F3A5F"/>
              </w:rPr>
              <w:t>Status</w:t>
            </w:r>
          </w:p>
        </w:tc>
        <w:tc>
          <w:tcPr>
            <w:tcW w:w="6550" w:type="dxa"/>
            <w:tcMar>
              <w:top w:w="80" w:type="dxa"/>
              <w:left w:w="120" w:type="dxa"/>
              <w:bottom w:w="80" w:type="dxa"/>
              <w:right w:w="120" w:type="dxa"/>
            </w:tcMar>
            <w:vAlign w:val="center"/>
          </w:tcPr>
          <w:p w14:paraId="54693B6B" w14:textId="77777777" w:rsidR="005056AF" w:rsidRDefault="00000000">
            <w:r>
              <w:rPr>
                <w:color w:val="000000"/>
              </w:rPr>
              <w:t>Draft — For Discussion</w:t>
            </w:r>
          </w:p>
        </w:tc>
      </w:tr>
      <w:tr w:rsidR="005056AF" w14:paraId="7BD2139E"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3DE43C4F" w14:textId="77777777" w:rsidR="005056AF" w:rsidRDefault="00000000">
            <w:r>
              <w:rPr>
                <w:b/>
                <w:bCs/>
                <w:color w:val="1F3A5F"/>
              </w:rPr>
              <w:t>Version</w:t>
            </w:r>
          </w:p>
        </w:tc>
        <w:tc>
          <w:tcPr>
            <w:tcW w:w="6550" w:type="dxa"/>
            <w:tcMar>
              <w:top w:w="80" w:type="dxa"/>
              <w:left w:w="120" w:type="dxa"/>
              <w:bottom w:w="80" w:type="dxa"/>
              <w:right w:w="120" w:type="dxa"/>
            </w:tcMar>
            <w:vAlign w:val="center"/>
          </w:tcPr>
          <w:p w14:paraId="77EA8A8C" w14:textId="77777777" w:rsidR="005056AF" w:rsidRDefault="00000000">
            <w:r>
              <w:rPr>
                <w:color w:val="000000"/>
              </w:rPr>
              <w:t>1.0</w:t>
            </w:r>
          </w:p>
        </w:tc>
      </w:tr>
      <w:tr w:rsidR="005056AF" w14:paraId="6AE61D20"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454790DB" w14:textId="77777777" w:rsidR="005056AF" w:rsidRDefault="00000000">
            <w:r>
              <w:rPr>
                <w:b/>
                <w:bCs/>
                <w:color w:val="1F3A5F"/>
              </w:rPr>
              <w:t>Date</w:t>
            </w:r>
          </w:p>
        </w:tc>
        <w:tc>
          <w:tcPr>
            <w:tcW w:w="6550" w:type="dxa"/>
            <w:tcMar>
              <w:top w:w="80" w:type="dxa"/>
              <w:left w:w="120" w:type="dxa"/>
              <w:bottom w:w="80" w:type="dxa"/>
              <w:right w:w="120" w:type="dxa"/>
            </w:tcMar>
            <w:vAlign w:val="center"/>
          </w:tcPr>
          <w:p w14:paraId="658CF028" w14:textId="77777777" w:rsidR="005056AF" w:rsidRDefault="00000000">
            <w:r>
              <w:rPr>
                <w:color w:val="000000"/>
              </w:rPr>
              <w:t>July 2026</w:t>
            </w:r>
          </w:p>
        </w:tc>
      </w:tr>
    </w:tbl>
    <w:p w14:paraId="18F8325D" w14:textId="77777777" w:rsidR="005056AF" w:rsidRDefault="00000000">
      <w:r>
        <w:br w:type="page"/>
      </w:r>
    </w:p>
    <w:p w14:paraId="04B0D642" w14:textId="77777777" w:rsidR="005056AF" w:rsidRDefault="00000000">
      <w:pPr>
        <w:pStyle w:val="Heading1"/>
        <w:pBdr>
          <w:bottom w:val="single" w:sz="6" w:space="4" w:color="1F3A5F"/>
        </w:pBdr>
        <w:spacing w:before="400" w:after="200"/>
      </w:pPr>
      <w:bookmarkStart w:id="2" w:name="_Toc236087723"/>
      <w:r>
        <w:rPr>
          <w:b/>
          <w:bCs/>
          <w:color w:val="1F3A5F"/>
          <w:sz w:val="30"/>
          <w:szCs w:val="30"/>
        </w:rPr>
        <w:lastRenderedPageBreak/>
        <w:t>2. Executive Summary</w:t>
      </w:r>
      <w:bookmarkEnd w:id="2"/>
    </w:p>
    <w:p w14:paraId="0F18457F" w14:textId="122D2FB4" w:rsidR="005056AF" w:rsidRDefault="00000000">
      <w:pPr>
        <w:spacing w:after="160" w:line="276" w:lineRule="auto"/>
      </w:pPr>
      <w:r>
        <w:rPr>
          <w:sz w:val="21"/>
          <w:szCs w:val="21"/>
        </w:rPr>
        <w:t>The FRA-led national initiative to prepare state-owned companies for EGX listing has provisionally admitted twenty (20) companies into a capacity-building progra</w:t>
      </w:r>
      <w:r w:rsidR="00C10D4E">
        <w:rPr>
          <w:sz w:val="21"/>
          <w:szCs w:val="21"/>
        </w:rPr>
        <w:t>m</w:t>
      </w:r>
      <w:r>
        <w:rPr>
          <w:sz w:val="21"/>
          <w:szCs w:val="21"/>
        </w:rPr>
        <w:t xml:space="preserve"> covering governance, disclosure and listing requirements. This is a live, funded, government-priority initiative, opened by the Minister of Investment and Foreign Trade, the FRA Chairman, the CEO of the State Ownership Policy Unit, and the EGX Chairman.</w:t>
      </w:r>
    </w:p>
    <w:p w14:paraId="312ED05C" w14:textId="2A1F9B87" w:rsidR="005056AF" w:rsidRDefault="00C10D4E">
      <w:pPr>
        <w:spacing w:after="160" w:line="276" w:lineRule="auto"/>
      </w:pPr>
      <w:r>
        <w:rPr>
          <w:sz w:val="21"/>
          <w:szCs w:val="21"/>
        </w:rPr>
        <w:t>I</w:t>
      </w:r>
      <w:r w:rsidR="00000000">
        <w:rPr>
          <w:sz w:val="21"/>
          <w:szCs w:val="21"/>
        </w:rPr>
        <w:t xml:space="preserve"> proposes to build and host, on dedicated GPU infrastructure, a centralized Retrieval-Augmented Generation (RAG) platform — an EGX Compliance Intelligence Platform — that gives every company in the cohort, and relevant EGX/FRA stakeholders, an always-available, secure AI reference for listing rules, disclosure obligations and governance standards, personalized to each company's own documents.</w:t>
      </w:r>
    </w:p>
    <w:p w14:paraId="6BFC2E3D" w14:textId="77777777" w:rsidR="005056AF" w:rsidRDefault="00000000">
      <w:pPr>
        <w:spacing w:after="160" w:line="276" w:lineRule="auto"/>
      </w:pPr>
      <w:r>
        <w:rPr>
          <w:sz w:val="21"/>
          <w:szCs w:val="21"/>
        </w:rPr>
        <w:t>This Business Case sets out the strategic rationale, the value proposition, the architecture options and recommendation, an indicative cost and delivery framework, and the governance and partnership model proposed between Corbia Innovation Hub and EGX. Full functional detail is in the companion PRD.</w:t>
      </w:r>
    </w:p>
    <w:p w14:paraId="4486CBAD" w14:textId="77777777" w:rsidR="005056AF" w:rsidRDefault="00000000">
      <w:pPr>
        <w:pStyle w:val="Heading1"/>
        <w:pBdr>
          <w:bottom w:val="single" w:sz="6" w:space="4" w:color="1F3A5F"/>
        </w:pBdr>
        <w:spacing w:before="400" w:after="200"/>
      </w:pPr>
      <w:bookmarkStart w:id="3" w:name="_Toc236087724"/>
      <w:r>
        <w:rPr>
          <w:b/>
          <w:bCs/>
          <w:color w:val="1F3A5F"/>
          <w:sz w:val="30"/>
          <w:szCs w:val="30"/>
        </w:rPr>
        <w:t>3. Strategic Alignment</w:t>
      </w:r>
      <w:bookmarkEnd w:id="3"/>
    </w:p>
    <w:p w14:paraId="02408CE2" w14:textId="77777777" w:rsidR="005056AF" w:rsidRDefault="00000000">
      <w:pPr>
        <w:spacing w:after="160" w:line="276" w:lineRule="auto"/>
      </w:pPr>
      <w:r>
        <w:rPr>
          <w:sz w:val="21"/>
          <w:szCs w:val="21"/>
        </w:rPr>
        <w:t>The initiative sits at the intersection of three national priorities:</w:t>
      </w:r>
    </w:p>
    <w:p w14:paraId="01697633" w14:textId="77777777" w:rsidR="005056AF" w:rsidRDefault="00000000">
      <w:pPr>
        <w:pStyle w:val="ListParagraph"/>
        <w:numPr>
          <w:ilvl w:val="0"/>
          <w:numId w:val="2"/>
        </w:numPr>
        <w:spacing w:after="80" w:line="260" w:lineRule="auto"/>
      </w:pPr>
      <w:r>
        <w:rPr>
          <w:sz w:val="21"/>
          <w:szCs w:val="21"/>
        </w:rPr>
        <w:t>Egypt's IMF-linked commitment to reduce state participation in the economy through divestment of state-owned enterprises.</w:t>
      </w:r>
    </w:p>
    <w:p w14:paraId="45E82991" w14:textId="77777777" w:rsidR="005056AF" w:rsidRDefault="00000000">
      <w:pPr>
        <w:pStyle w:val="ListParagraph"/>
        <w:numPr>
          <w:ilvl w:val="0"/>
          <w:numId w:val="2"/>
        </w:numPr>
        <w:spacing w:after="80" w:line="260" w:lineRule="auto"/>
      </w:pPr>
      <w:r>
        <w:rPr>
          <w:sz w:val="21"/>
          <w:szCs w:val="21"/>
        </w:rPr>
        <w:t>EGX and FRA's mandate to expand the depth and quality of the capital market by bringing well-governed, disclosure-ready companies to listing.</w:t>
      </w:r>
    </w:p>
    <w:p w14:paraId="768F827F" w14:textId="77777777" w:rsidR="005056AF" w:rsidRDefault="00000000">
      <w:pPr>
        <w:pStyle w:val="ListParagraph"/>
        <w:numPr>
          <w:ilvl w:val="0"/>
          <w:numId w:val="2"/>
        </w:numPr>
        <w:spacing w:after="80" w:line="260" w:lineRule="auto"/>
      </w:pPr>
      <w:r>
        <w:rPr>
          <w:sz w:val="21"/>
          <w:szCs w:val="21"/>
        </w:rPr>
        <w:t>The State Ownership Policy Unit's role in nominating and coordinating readiness of candidate companies across the government portfolio.</w:t>
      </w:r>
    </w:p>
    <w:p w14:paraId="7A8E45A2" w14:textId="77777777" w:rsidR="005056AF" w:rsidRDefault="00000000">
      <w:pPr>
        <w:spacing w:after="160" w:line="276" w:lineRule="auto"/>
      </w:pPr>
      <w:r>
        <w:rPr>
          <w:sz w:val="21"/>
          <w:szCs w:val="21"/>
        </w:rPr>
        <w:t>A standardized AI compliance layer directly supports all three: it accelerates readiness at scale, protects the credibility of the listing pipeline by ensuring consistent understanding of the rules, and gives EGX/FRA a repeatable mechanism to onboard future cohorts beyond the initial twenty.</w:t>
      </w:r>
    </w:p>
    <w:p w14:paraId="3F124FAA" w14:textId="77777777" w:rsidR="005056AF" w:rsidRDefault="00000000">
      <w:pPr>
        <w:pStyle w:val="Heading1"/>
        <w:pBdr>
          <w:bottom w:val="single" w:sz="6" w:space="4" w:color="1F3A5F"/>
        </w:pBdr>
        <w:spacing w:before="400" w:after="200"/>
      </w:pPr>
      <w:bookmarkStart w:id="4" w:name="_Toc236087725"/>
      <w:r>
        <w:rPr>
          <w:b/>
          <w:bCs/>
          <w:color w:val="1F3A5F"/>
          <w:sz w:val="30"/>
          <w:szCs w:val="30"/>
        </w:rPr>
        <w:t>4. The Opportunity</w:t>
      </w:r>
      <w:bookmarkEnd w:id="4"/>
    </w:p>
    <w:p w14:paraId="3C86F151" w14:textId="77777777" w:rsidR="005056AF" w:rsidRDefault="00000000">
      <w:pPr>
        <w:spacing w:after="160" w:line="276" w:lineRule="auto"/>
      </w:pPr>
      <w:r>
        <w:rPr>
          <w:sz w:val="21"/>
          <w:szCs w:val="21"/>
        </w:rPr>
        <w:t>Today, the twenty cohort companies are being brought up to speed primarily through classroom-style training delivered by FSI and EIoD. This is valuable but does not scale well to the ongoing, detailed, company-specific questions that arise as each company builds its listing file — nor does it guarantee a single, consistent interpretation of the rules across all companies.</w:t>
      </w:r>
    </w:p>
    <w:p w14:paraId="1FE491FC" w14:textId="2B8A1930" w:rsidR="00C10D4E" w:rsidRDefault="00000000">
      <w:pPr>
        <w:spacing w:after="160" w:line="276" w:lineRule="auto"/>
        <w:rPr>
          <w:sz w:val="21"/>
          <w:szCs w:val="21"/>
        </w:rPr>
      </w:pPr>
      <w:r>
        <w:rPr>
          <w:sz w:val="21"/>
          <w:szCs w:val="21"/>
        </w:rPr>
        <w:t>An AI reference layer, grounded strictly in EGX/FRA-approved source material, closes this gap between structured training sessions: it gives every company an on-demand, cited, standardized answer, and gives EGX/FRA visibility into where knowledge gaps persist across the cohort.</w:t>
      </w:r>
    </w:p>
    <w:p w14:paraId="6BF51675" w14:textId="77777777" w:rsidR="00C10D4E" w:rsidRDefault="00C10D4E">
      <w:pPr>
        <w:rPr>
          <w:sz w:val="21"/>
          <w:szCs w:val="21"/>
        </w:rPr>
      </w:pPr>
      <w:r>
        <w:rPr>
          <w:sz w:val="21"/>
          <w:szCs w:val="21"/>
        </w:rPr>
        <w:br w:type="page"/>
      </w:r>
    </w:p>
    <w:p w14:paraId="1EC1370F" w14:textId="77777777" w:rsidR="005056AF" w:rsidRDefault="00000000">
      <w:pPr>
        <w:pStyle w:val="Heading1"/>
        <w:pBdr>
          <w:bottom w:val="single" w:sz="6" w:space="4" w:color="1F3A5F"/>
        </w:pBdr>
        <w:spacing w:before="400" w:after="200"/>
      </w:pPr>
      <w:bookmarkStart w:id="5" w:name="_Toc236087726"/>
      <w:r>
        <w:rPr>
          <w:b/>
          <w:bCs/>
          <w:color w:val="1F3A5F"/>
          <w:sz w:val="30"/>
          <w:szCs w:val="30"/>
        </w:rPr>
        <w:lastRenderedPageBreak/>
        <w:t>5. Value Proposition</w:t>
      </w:r>
      <w:bookmarkEnd w:id="5"/>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50"/>
      </w:tblGrid>
      <w:tr w:rsidR="005056AF" w14:paraId="12C1334C" w14:textId="77777777">
        <w:tblPrEx>
          <w:tblCellMar>
            <w:top w:w="0" w:type="dxa"/>
            <w:bottom w:w="0" w:type="dxa"/>
          </w:tblCellMar>
        </w:tblPrEx>
        <w:trPr>
          <w:tblHeader/>
        </w:trPr>
        <w:tc>
          <w:tcPr>
            <w:tcW w:w="2700" w:type="dxa"/>
            <w:shd w:val="clear" w:color="auto" w:fill="1F3A5F"/>
            <w:tcMar>
              <w:top w:w="80" w:type="dxa"/>
              <w:left w:w="120" w:type="dxa"/>
              <w:bottom w:w="80" w:type="dxa"/>
              <w:right w:w="120" w:type="dxa"/>
            </w:tcMar>
            <w:vAlign w:val="center"/>
          </w:tcPr>
          <w:p w14:paraId="7569EB00" w14:textId="77777777" w:rsidR="005056AF" w:rsidRDefault="00000000">
            <w:r>
              <w:rPr>
                <w:b/>
                <w:bCs/>
                <w:color w:val="FFFFFF"/>
              </w:rPr>
              <w:t>Benefit</w:t>
            </w:r>
          </w:p>
        </w:tc>
        <w:tc>
          <w:tcPr>
            <w:tcW w:w="6650" w:type="dxa"/>
            <w:shd w:val="clear" w:color="auto" w:fill="1F3A5F"/>
            <w:tcMar>
              <w:top w:w="80" w:type="dxa"/>
              <w:left w:w="120" w:type="dxa"/>
              <w:bottom w:w="80" w:type="dxa"/>
              <w:right w:w="120" w:type="dxa"/>
            </w:tcMar>
            <w:vAlign w:val="center"/>
          </w:tcPr>
          <w:p w14:paraId="7B6953CF" w14:textId="77777777" w:rsidR="005056AF" w:rsidRDefault="00000000">
            <w:r>
              <w:rPr>
                <w:b/>
                <w:bCs/>
                <w:color w:val="FFFFFF"/>
              </w:rPr>
              <w:t>Description</w:t>
            </w:r>
          </w:p>
        </w:tc>
      </w:tr>
      <w:tr w:rsidR="005056AF" w14:paraId="293BCE29" w14:textId="77777777">
        <w:tblPrEx>
          <w:tblCellMar>
            <w:top w:w="0" w:type="dxa"/>
            <w:bottom w:w="0" w:type="dxa"/>
          </w:tblCellMar>
        </w:tblPrEx>
        <w:tc>
          <w:tcPr>
            <w:tcW w:w="2700" w:type="dxa"/>
            <w:tcMar>
              <w:top w:w="80" w:type="dxa"/>
              <w:left w:w="120" w:type="dxa"/>
              <w:bottom w:w="80" w:type="dxa"/>
              <w:right w:w="120" w:type="dxa"/>
            </w:tcMar>
            <w:vAlign w:val="center"/>
          </w:tcPr>
          <w:p w14:paraId="18D9B145" w14:textId="77777777" w:rsidR="005056AF" w:rsidRDefault="00000000">
            <w:r>
              <w:rPr>
                <w:color w:val="000000"/>
              </w:rPr>
              <w:t>Speed</w:t>
            </w:r>
          </w:p>
        </w:tc>
        <w:tc>
          <w:tcPr>
            <w:tcW w:w="6650" w:type="dxa"/>
            <w:tcMar>
              <w:top w:w="80" w:type="dxa"/>
              <w:left w:w="120" w:type="dxa"/>
              <w:bottom w:w="80" w:type="dxa"/>
              <w:right w:w="120" w:type="dxa"/>
            </w:tcMar>
            <w:vAlign w:val="center"/>
          </w:tcPr>
          <w:p w14:paraId="7272628E" w14:textId="77777777" w:rsidR="005056AF" w:rsidRDefault="00000000">
            <w:r>
              <w:rPr>
                <w:color w:val="000000"/>
              </w:rPr>
              <w:t>Compliance questions answered in seconds rather than through scheduled training sessions or manual research.</w:t>
            </w:r>
          </w:p>
        </w:tc>
      </w:tr>
      <w:tr w:rsidR="005056AF" w14:paraId="0C68C951" w14:textId="77777777">
        <w:tblPrEx>
          <w:tblCellMar>
            <w:top w:w="0" w:type="dxa"/>
            <w:bottom w:w="0" w:type="dxa"/>
          </w:tblCellMar>
        </w:tblPrEx>
        <w:tc>
          <w:tcPr>
            <w:tcW w:w="2700" w:type="dxa"/>
            <w:shd w:val="clear" w:color="auto" w:fill="F2F2F2"/>
            <w:tcMar>
              <w:top w:w="80" w:type="dxa"/>
              <w:left w:w="120" w:type="dxa"/>
              <w:bottom w:w="80" w:type="dxa"/>
              <w:right w:w="120" w:type="dxa"/>
            </w:tcMar>
            <w:vAlign w:val="center"/>
          </w:tcPr>
          <w:p w14:paraId="7660B603" w14:textId="77777777" w:rsidR="005056AF" w:rsidRDefault="00000000">
            <w:r>
              <w:rPr>
                <w:color w:val="000000"/>
              </w:rPr>
              <w:t>Consistency</w:t>
            </w:r>
          </w:p>
        </w:tc>
        <w:tc>
          <w:tcPr>
            <w:tcW w:w="6650" w:type="dxa"/>
            <w:shd w:val="clear" w:color="auto" w:fill="F2F2F2"/>
            <w:tcMar>
              <w:top w:w="80" w:type="dxa"/>
              <w:left w:w="120" w:type="dxa"/>
              <w:bottom w:w="80" w:type="dxa"/>
              <w:right w:w="120" w:type="dxa"/>
            </w:tcMar>
            <w:vAlign w:val="center"/>
          </w:tcPr>
          <w:p w14:paraId="773376FD" w14:textId="77777777" w:rsidR="005056AF" w:rsidRDefault="00000000">
            <w:r>
              <w:rPr>
                <w:color w:val="000000"/>
              </w:rPr>
              <w:t>Every company works from the same EGX/FRA-approved interpretation of listing and disclosure rules.</w:t>
            </w:r>
          </w:p>
        </w:tc>
      </w:tr>
      <w:tr w:rsidR="005056AF" w14:paraId="5F82394D" w14:textId="77777777">
        <w:tblPrEx>
          <w:tblCellMar>
            <w:top w:w="0" w:type="dxa"/>
            <w:bottom w:w="0" w:type="dxa"/>
          </w:tblCellMar>
        </w:tblPrEx>
        <w:tc>
          <w:tcPr>
            <w:tcW w:w="2700" w:type="dxa"/>
            <w:tcMar>
              <w:top w:w="80" w:type="dxa"/>
              <w:left w:w="120" w:type="dxa"/>
              <w:bottom w:w="80" w:type="dxa"/>
              <w:right w:w="120" w:type="dxa"/>
            </w:tcMar>
            <w:vAlign w:val="center"/>
          </w:tcPr>
          <w:p w14:paraId="2AFFD037" w14:textId="77777777" w:rsidR="005056AF" w:rsidRDefault="00000000">
            <w:r>
              <w:rPr>
                <w:color w:val="000000"/>
              </w:rPr>
              <w:t>Personalization</w:t>
            </w:r>
          </w:p>
        </w:tc>
        <w:tc>
          <w:tcPr>
            <w:tcW w:w="6650" w:type="dxa"/>
            <w:tcMar>
              <w:top w:w="80" w:type="dxa"/>
              <w:left w:w="120" w:type="dxa"/>
              <w:bottom w:w="80" w:type="dxa"/>
              <w:right w:w="120" w:type="dxa"/>
            </w:tcMar>
            <w:vAlign w:val="center"/>
          </w:tcPr>
          <w:p w14:paraId="32E392C4" w14:textId="77777777" w:rsidR="005056AF" w:rsidRDefault="00000000">
            <w:r>
              <w:rPr>
                <w:color w:val="000000"/>
              </w:rPr>
              <w:t>Answers reflect each company's own governance documents and stage of readiness, without exposing that data to other companies.</w:t>
            </w:r>
          </w:p>
        </w:tc>
      </w:tr>
      <w:tr w:rsidR="005056AF" w14:paraId="11696875" w14:textId="77777777">
        <w:tblPrEx>
          <w:tblCellMar>
            <w:top w:w="0" w:type="dxa"/>
            <w:bottom w:w="0" w:type="dxa"/>
          </w:tblCellMar>
        </w:tblPrEx>
        <w:tc>
          <w:tcPr>
            <w:tcW w:w="2700" w:type="dxa"/>
            <w:shd w:val="clear" w:color="auto" w:fill="F2F2F2"/>
            <w:tcMar>
              <w:top w:w="80" w:type="dxa"/>
              <w:left w:w="120" w:type="dxa"/>
              <w:bottom w:w="80" w:type="dxa"/>
              <w:right w:w="120" w:type="dxa"/>
            </w:tcMar>
            <w:vAlign w:val="center"/>
          </w:tcPr>
          <w:p w14:paraId="21DD1F7C" w14:textId="77777777" w:rsidR="005056AF" w:rsidRDefault="00000000">
            <w:r>
              <w:rPr>
                <w:color w:val="000000"/>
              </w:rPr>
              <w:t>Reduced workload</w:t>
            </w:r>
          </w:p>
        </w:tc>
        <w:tc>
          <w:tcPr>
            <w:tcW w:w="6650" w:type="dxa"/>
            <w:shd w:val="clear" w:color="auto" w:fill="F2F2F2"/>
            <w:tcMar>
              <w:top w:w="80" w:type="dxa"/>
              <w:left w:w="120" w:type="dxa"/>
              <w:bottom w:w="80" w:type="dxa"/>
              <w:right w:w="120" w:type="dxa"/>
            </w:tcMar>
            <w:vAlign w:val="center"/>
          </w:tcPr>
          <w:p w14:paraId="3B0D89BA" w14:textId="77777777" w:rsidR="005056AF" w:rsidRDefault="00000000">
            <w:r>
              <w:rPr>
                <w:color w:val="000000"/>
              </w:rPr>
              <w:t>Frees FSI/EIoD trainers and EGX/FRA staff from repetitive, low-complexity queries to focus on higher-value review work.</w:t>
            </w:r>
          </w:p>
        </w:tc>
      </w:tr>
      <w:tr w:rsidR="005056AF" w14:paraId="6E31F03D" w14:textId="77777777">
        <w:tblPrEx>
          <w:tblCellMar>
            <w:top w:w="0" w:type="dxa"/>
            <w:bottom w:w="0" w:type="dxa"/>
          </w:tblCellMar>
        </w:tblPrEx>
        <w:tc>
          <w:tcPr>
            <w:tcW w:w="2700" w:type="dxa"/>
            <w:tcMar>
              <w:top w:w="80" w:type="dxa"/>
              <w:left w:w="120" w:type="dxa"/>
              <w:bottom w:w="80" w:type="dxa"/>
              <w:right w:w="120" w:type="dxa"/>
            </w:tcMar>
            <w:vAlign w:val="center"/>
          </w:tcPr>
          <w:p w14:paraId="13D919B6" w14:textId="77777777" w:rsidR="005056AF" w:rsidRDefault="00000000">
            <w:r>
              <w:rPr>
                <w:color w:val="000000"/>
              </w:rPr>
              <w:t>Regulatory visibility</w:t>
            </w:r>
          </w:p>
        </w:tc>
        <w:tc>
          <w:tcPr>
            <w:tcW w:w="6650" w:type="dxa"/>
            <w:tcMar>
              <w:top w:w="80" w:type="dxa"/>
              <w:left w:w="120" w:type="dxa"/>
              <w:bottom w:w="80" w:type="dxa"/>
              <w:right w:w="120" w:type="dxa"/>
            </w:tcMar>
            <w:vAlign w:val="center"/>
          </w:tcPr>
          <w:p w14:paraId="0ABC205B" w14:textId="77777777" w:rsidR="005056AF" w:rsidRDefault="00000000">
            <w:r>
              <w:rPr>
                <w:color w:val="000000"/>
              </w:rPr>
              <w:t>Aggregated, anonymized reporting gives EGX/FRA an early-warning view of where the cohort collectively needs support.</w:t>
            </w:r>
          </w:p>
        </w:tc>
      </w:tr>
      <w:tr w:rsidR="005056AF" w14:paraId="0FA882FD" w14:textId="77777777">
        <w:tblPrEx>
          <w:tblCellMar>
            <w:top w:w="0" w:type="dxa"/>
            <w:bottom w:w="0" w:type="dxa"/>
          </w:tblCellMar>
        </w:tblPrEx>
        <w:tc>
          <w:tcPr>
            <w:tcW w:w="2700" w:type="dxa"/>
            <w:shd w:val="clear" w:color="auto" w:fill="F2F2F2"/>
            <w:tcMar>
              <w:top w:w="80" w:type="dxa"/>
              <w:left w:w="120" w:type="dxa"/>
              <w:bottom w:w="80" w:type="dxa"/>
              <w:right w:w="120" w:type="dxa"/>
            </w:tcMar>
            <w:vAlign w:val="center"/>
          </w:tcPr>
          <w:p w14:paraId="0CDA424F" w14:textId="77777777" w:rsidR="005056AF" w:rsidRDefault="00000000">
            <w:r>
              <w:rPr>
                <w:color w:val="000000"/>
              </w:rPr>
              <w:t>Scalable model</w:t>
            </w:r>
          </w:p>
        </w:tc>
        <w:tc>
          <w:tcPr>
            <w:tcW w:w="6650" w:type="dxa"/>
            <w:shd w:val="clear" w:color="auto" w:fill="F2F2F2"/>
            <w:tcMar>
              <w:top w:w="80" w:type="dxa"/>
              <w:left w:w="120" w:type="dxa"/>
              <w:bottom w:w="80" w:type="dxa"/>
              <w:right w:w="120" w:type="dxa"/>
            </w:tcMar>
            <w:vAlign w:val="center"/>
          </w:tcPr>
          <w:p w14:paraId="2C2E84C7" w14:textId="77777777" w:rsidR="005056AF" w:rsidRDefault="00000000">
            <w:r>
              <w:rPr>
                <w:color w:val="000000"/>
              </w:rPr>
              <w:t>A reusable platform that can extend to future listing cohorts beyond the initial twenty companies.</w:t>
            </w:r>
          </w:p>
        </w:tc>
      </w:tr>
    </w:tbl>
    <w:p w14:paraId="4EB5DC55" w14:textId="77777777" w:rsidR="005056AF" w:rsidRDefault="00000000">
      <w:pPr>
        <w:pStyle w:val="Heading1"/>
        <w:pBdr>
          <w:bottom w:val="single" w:sz="6" w:space="4" w:color="1F3A5F"/>
        </w:pBdr>
        <w:spacing w:before="400" w:after="200"/>
      </w:pPr>
      <w:bookmarkStart w:id="6" w:name="_Toc236087727"/>
      <w:r>
        <w:rPr>
          <w:b/>
          <w:bCs/>
          <w:color w:val="1F3A5F"/>
          <w:sz w:val="30"/>
          <w:szCs w:val="30"/>
        </w:rPr>
        <w:t>6. Architecture Options and Recommendation</w:t>
      </w:r>
      <w:bookmarkEnd w:id="6"/>
    </w:p>
    <w:p w14:paraId="31D27A1A" w14:textId="77777777" w:rsidR="005056AF" w:rsidRDefault="00000000">
      <w:pPr>
        <w:pStyle w:val="Heading2"/>
        <w:spacing w:before="280" w:after="140"/>
      </w:pPr>
      <w:bookmarkStart w:id="7" w:name="_Toc236087728"/>
      <w:r>
        <w:rPr>
          <w:b/>
          <w:bCs/>
          <w:color w:val="1F3A5F"/>
          <w:sz w:val="24"/>
          <w:szCs w:val="24"/>
        </w:rPr>
        <w:t>Option A — Centralized Hub (Recommended for Phase 1)</w:t>
      </w:r>
      <w:bookmarkEnd w:id="7"/>
    </w:p>
    <w:p w14:paraId="72A30D63" w14:textId="77777777" w:rsidR="005056AF" w:rsidRDefault="00000000">
      <w:pPr>
        <w:spacing w:after="160" w:line="276" w:lineRule="auto"/>
      </w:pPr>
      <w:r>
        <w:rPr>
          <w:sz w:val="21"/>
          <w:szCs w:val="21"/>
        </w:rPr>
        <w:t>One EGX/FRA-governed RAG platform serving all cohort companies from a shared, curated regulatory knowledge base, with an isolated private workspace for each company's own documents.</w:t>
      </w:r>
    </w:p>
    <w:p w14:paraId="744575EA" w14:textId="77777777" w:rsidR="005056AF" w:rsidRDefault="00000000">
      <w:pPr>
        <w:pStyle w:val="ListParagraph"/>
        <w:numPr>
          <w:ilvl w:val="0"/>
          <w:numId w:val="2"/>
        </w:numPr>
        <w:spacing w:after="80" w:line="260" w:lineRule="auto"/>
      </w:pPr>
      <w:r>
        <w:rPr>
          <w:sz w:val="21"/>
          <w:szCs w:val="21"/>
        </w:rPr>
        <w:t>Lowest cost and fastest time-to-value; single knowledge base to maintain as rules evolve.</w:t>
      </w:r>
    </w:p>
    <w:p w14:paraId="27C98207" w14:textId="77777777" w:rsidR="005056AF" w:rsidRDefault="00000000">
      <w:pPr>
        <w:pStyle w:val="ListParagraph"/>
        <w:numPr>
          <w:ilvl w:val="0"/>
          <w:numId w:val="2"/>
        </w:numPr>
        <w:spacing w:after="80" w:line="260" w:lineRule="auto"/>
      </w:pPr>
      <w:r>
        <w:rPr>
          <w:sz w:val="21"/>
          <w:szCs w:val="21"/>
        </w:rPr>
        <w:t>Single point of security governance and audit for EGX/FRA.</w:t>
      </w:r>
    </w:p>
    <w:p w14:paraId="788E0F4C" w14:textId="77777777" w:rsidR="005056AF" w:rsidRDefault="00000000">
      <w:pPr>
        <w:pStyle w:val="ListParagraph"/>
        <w:numPr>
          <w:ilvl w:val="0"/>
          <w:numId w:val="2"/>
        </w:numPr>
        <w:spacing w:after="80" w:line="260" w:lineRule="auto"/>
      </w:pPr>
      <w:r>
        <w:rPr>
          <w:sz w:val="21"/>
          <w:szCs w:val="21"/>
        </w:rPr>
        <w:t>Consistent answers guaranteed across the whole cohort by design.</w:t>
      </w:r>
    </w:p>
    <w:p w14:paraId="7CEDBEC2" w14:textId="77777777" w:rsidR="005056AF" w:rsidRDefault="00000000">
      <w:pPr>
        <w:pStyle w:val="Heading2"/>
        <w:spacing w:before="280" w:after="140"/>
      </w:pPr>
      <w:bookmarkStart w:id="8" w:name="_Toc236087729"/>
      <w:r>
        <w:rPr>
          <w:b/>
          <w:bCs/>
          <w:color w:val="1F3A5F"/>
          <w:sz w:val="24"/>
          <w:szCs w:val="24"/>
        </w:rPr>
        <w:t>Option B — Per-Company Dedicated Instances</w:t>
      </w:r>
      <w:bookmarkEnd w:id="8"/>
    </w:p>
    <w:p w14:paraId="47BC04E6" w14:textId="77777777" w:rsidR="005056AF" w:rsidRDefault="00000000">
      <w:pPr>
        <w:spacing w:after="160" w:line="276" w:lineRule="auto"/>
      </w:pPr>
      <w:r>
        <w:rPr>
          <w:sz w:val="21"/>
          <w:szCs w:val="21"/>
        </w:rPr>
        <w:t>A separate, fully isolated instance and knowledge base per company.</w:t>
      </w:r>
    </w:p>
    <w:p w14:paraId="1314BF1A" w14:textId="77777777" w:rsidR="005056AF" w:rsidRDefault="00000000">
      <w:pPr>
        <w:pStyle w:val="ListParagraph"/>
        <w:numPr>
          <w:ilvl w:val="0"/>
          <w:numId w:val="2"/>
        </w:numPr>
        <w:spacing w:after="80" w:line="260" w:lineRule="auto"/>
      </w:pPr>
      <w:r>
        <w:rPr>
          <w:sz w:val="21"/>
          <w:szCs w:val="21"/>
        </w:rPr>
        <w:t>Highest degree of isolation and bespoke customization.</w:t>
      </w:r>
    </w:p>
    <w:p w14:paraId="1DF4103B" w14:textId="77777777" w:rsidR="005056AF" w:rsidRDefault="00000000">
      <w:pPr>
        <w:pStyle w:val="ListParagraph"/>
        <w:numPr>
          <w:ilvl w:val="0"/>
          <w:numId w:val="2"/>
        </w:numPr>
        <w:spacing w:after="80" w:line="260" w:lineRule="auto"/>
      </w:pPr>
      <w:r>
        <w:rPr>
          <w:sz w:val="21"/>
          <w:szCs w:val="21"/>
        </w:rPr>
        <w:t>Materially higher infrastructure and maintenance cost across 20+ instances; harder to keep synchronized when regulations change.</w:t>
      </w:r>
    </w:p>
    <w:p w14:paraId="371F5B5C" w14:textId="77777777" w:rsidR="005056AF" w:rsidRDefault="00000000">
      <w:pPr>
        <w:pStyle w:val="Heading2"/>
        <w:spacing w:before="280" w:after="140"/>
      </w:pPr>
      <w:bookmarkStart w:id="9" w:name="_Toc236087730"/>
      <w:r>
        <w:rPr>
          <w:b/>
          <w:bCs/>
          <w:color w:val="1F3A5F"/>
          <w:sz w:val="24"/>
          <w:szCs w:val="24"/>
        </w:rPr>
        <w:t>Recommendation</w:t>
      </w:r>
      <w:bookmarkEnd w:id="9"/>
    </w:p>
    <w:p w14:paraId="4900AD8A" w14:textId="31A92A4C" w:rsidR="00C10D4E" w:rsidRDefault="00000000">
      <w:pPr>
        <w:spacing w:after="160" w:line="276" w:lineRule="auto"/>
        <w:rPr>
          <w:sz w:val="21"/>
          <w:szCs w:val="21"/>
        </w:rPr>
      </w:pPr>
      <w:r>
        <w:rPr>
          <w:sz w:val="21"/>
          <w:szCs w:val="21"/>
        </w:rPr>
        <w:t>Proceed with Option A as Phase 1, launched with a pilot subset of the cohort, with the underlying architecture designed so that any company requiring elevated isolation (e.g. due to sector sensitivity or scale) can be migrated to a dedicated instance under Option B in a later phase. This sequencing minimizes upfront cost and risk while preserving a path to full customization.</w:t>
      </w:r>
    </w:p>
    <w:p w14:paraId="41C86E37" w14:textId="77777777" w:rsidR="00C10D4E" w:rsidRDefault="00C10D4E">
      <w:pPr>
        <w:rPr>
          <w:sz w:val="21"/>
          <w:szCs w:val="21"/>
        </w:rPr>
      </w:pPr>
      <w:r>
        <w:rPr>
          <w:sz w:val="21"/>
          <w:szCs w:val="21"/>
        </w:rPr>
        <w:br w:type="page"/>
      </w:r>
    </w:p>
    <w:p w14:paraId="3A0E6E29" w14:textId="77777777" w:rsidR="005056AF" w:rsidRDefault="00000000">
      <w:pPr>
        <w:pStyle w:val="Heading1"/>
        <w:pBdr>
          <w:bottom w:val="single" w:sz="6" w:space="4" w:color="1F3A5F"/>
        </w:pBdr>
        <w:spacing w:before="400" w:after="200"/>
      </w:pPr>
      <w:bookmarkStart w:id="10" w:name="_Toc236087731"/>
      <w:r>
        <w:rPr>
          <w:b/>
          <w:bCs/>
          <w:color w:val="1F3A5F"/>
          <w:sz w:val="30"/>
          <w:szCs w:val="30"/>
        </w:rPr>
        <w:lastRenderedPageBreak/>
        <w:t>7. Indicative Cost Framework</w:t>
      </w:r>
      <w:bookmarkEnd w:id="10"/>
    </w:p>
    <w:p w14:paraId="56A4EB5E" w14:textId="77777777" w:rsidR="005056AF" w:rsidRDefault="00000000">
      <w:pPr>
        <w:spacing w:after="160" w:line="276" w:lineRule="auto"/>
      </w:pPr>
      <w:r>
        <w:rPr>
          <w:sz w:val="21"/>
          <w:szCs w:val="21"/>
        </w:rPr>
        <w:t>The figures below are indicative planning ranges only, intended to frame the scale of investment for initial discussion. They are not a binding quotation and would be firmed up following a technical discovery phase with EGX's IT and security teams to confirm hosting model, user volumes and integration requirements.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50"/>
      </w:tblGrid>
      <w:tr w:rsidR="005056AF" w14:paraId="5149B9ED" w14:textId="77777777">
        <w:tblPrEx>
          <w:tblCellMar>
            <w:top w:w="0" w:type="dxa"/>
            <w:bottom w:w="0" w:type="dxa"/>
          </w:tblCellMar>
        </w:tblPrEx>
        <w:trPr>
          <w:tblHeader/>
        </w:trPr>
        <w:tc>
          <w:tcPr>
            <w:tcW w:w="4200" w:type="dxa"/>
            <w:shd w:val="clear" w:color="auto" w:fill="1F3A5F"/>
            <w:tcMar>
              <w:top w:w="80" w:type="dxa"/>
              <w:left w:w="120" w:type="dxa"/>
              <w:bottom w:w="80" w:type="dxa"/>
              <w:right w:w="120" w:type="dxa"/>
            </w:tcMar>
            <w:vAlign w:val="center"/>
          </w:tcPr>
          <w:p w14:paraId="0FE65223" w14:textId="77777777" w:rsidR="005056AF" w:rsidRDefault="00000000">
            <w:r>
              <w:rPr>
                <w:b/>
                <w:bCs/>
                <w:color w:val="FFFFFF"/>
              </w:rPr>
              <w:t>Cost Component</w:t>
            </w:r>
          </w:p>
        </w:tc>
        <w:tc>
          <w:tcPr>
            <w:tcW w:w="5150" w:type="dxa"/>
            <w:shd w:val="clear" w:color="auto" w:fill="1F3A5F"/>
            <w:tcMar>
              <w:top w:w="80" w:type="dxa"/>
              <w:left w:w="120" w:type="dxa"/>
              <w:bottom w:w="80" w:type="dxa"/>
              <w:right w:w="120" w:type="dxa"/>
            </w:tcMar>
            <w:vAlign w:val="center"/>
          </w:tcPr>
          <w:p w14:paraId="11E9CC27" w14:textId="77777777" w:rsidR="005056AF" w:rsidRDefault="00000000">
            <w:r>
              <w:rPr>
                <w:b/>
                <w:bCs/>
                <w:color w:val="FFFFFF"/>
              </w:rPr>
              <w:t>Indicative Range (Phase 1 Pilot, Annualized)</w:t>
            </w:r>
          </w:p>
        </w:tc>
      </w:tr>
      <w:tr w:rsidR="005056AF" w14:paraId="0551DB4D" w14:textId="77777777">
        <w:tblPrEx>
          <w:tblCellMar>
            <w:top w:w="0" w:type="dxa"/>
            <w:bottom w:w="0" w:type="dxa"/>
          </w:tblCellMar>
        </w:tblPrEx>
        <w:tc>
          <w:tcPr>
            <w:tcW w:w="4200" w:type="dxa"/>
            <w:tcMar>
              <w:top w:w="80" w:type="dxa"/>
              <w:left w:w="120" w:type="dxa"/>
              <w:bottom w:w="80" w:type="dxa"/>
              <w:right w:w="120" w:type="dxa"/>
            </w:tcMar>
            <w:vAlign w:val="center"/>
          </w:tcPr>
          <w:p w14:paraId="146E9710" w14:textId="77777777" w:rsidR="005056AF" w:rsidRDefault="00000000">
            <w:r>
              <w:rPr>
                <w:color w:val="000000"/>
              </w:rPr>
              <w:t>GPU server infrastructure (hosting, compute)</w:t>
            </w:r>
          </w:p>
        </w:tc>
        <w:tc>
          <w:tcPr>
            <w:tcW w:w="5150" w:type="dxa"/>
            <w:tcMar>
              <w:top w:w="80" w:type="dxa"/>
              <w:left w:w="120" w:type="dxa"/>
              <w:bottom w:w="80" w:type="dxa"/>
              <w:right w:w="120" w:type="dxa"/>
            </w:tcMar>
            <w:vAlign w:val="center"/>
          </w:tcPr>
          <w:p w14:paraId="71A5EBBE" w14:textId="77777777" w:rsidR="005056AF" w:rsidRDefault="00000000">
            <w:r>
              <w:rPr>
                <w:color w:val="000000"/>
              </w:rPr>
              <w:t>To be scoped with EGX IT — dependent on chosen hosting model (EGX-hosted, FRA-hosted, or vendor-hosted) and concurrent user load</w:t>
            </w:r>
          </w:p>
        </w:tc>
      </w:tr>
      <w:tr w:rsidR="005056AF" w14:paraId="58BA9D0C" w14:textId="77777777">
        <w:tblPrEx>
          <w:tblCellMar>
            <w:top w:w="0" w:type="dxa"/>
            <w:bottom w:w="0" w:type="dxa"/>
          </w:tblCellMar>
        </w:tblPrEx>
        <w:tc>
          <w:tcPr>
            <w:tcW w:w="4200" w:type="dxa"/>
            <w:shd w:val="clear" w:color="auto" w:fill="F2F2F2"/>
            <w:tcMar>
              <w:top w:w="80" w:type="dxa"/>
              <w:left w:w="120" w:type="dxa"/>
              <w:bottom w:w="80" w:type="dxa"/>
              <w:right w:w="120" w:type="dxa"/>
            </w:tcMar>
            <w:vAlign w:val="center"/>
          </w:tcPr>
          <w:p w14:paraId="3056D571" w14:textId="77777777" w:rsidR="005056AF" w:rsidRDefault="00000000">
            <w:r>
              <w:rPr>
                <w:color w:val="000000"/>
              </w:rPr>
              <w:t>RAG platform build — knowledge base ingestion, retrieval pipeline, chat interface</w:t>
            </w:r>
          </w:p>
        </w:tc>
        <w:tc>
          <w:tcPr>
            <w:tcW w:w="5150" w:type="dxa"/>
            <w:shd w:val="clear" w:color="auto" w:fill="F2F2F2"/>
            <w:tcMar>
              <w:top w:w="80" w:type="dxa"/>
              <w:left w:w="120" w:type="dxa"/>
              <w:bottom w:w="80" w:type="dxa"/>
              <w:right w:w="120" w:type="dxa"/>
            </w:tcMar>
            <w:vAlign w:val="center"/>
          </w:tcPr>
          <w:p w14:paraId="0E4719EF" w14:textId="77777777" w:rsidR="005056AF" w:rsidRDefault="00000000">
            <w:r>
              <w:rPr>
                <w:color w:val="000000"/>
              </w:rPr>
              <w:t>One-time development cost, scoped per pilot requirements</w:t>
            </w:r>
          </w:p>
        </w:tc>
      </w:tr>
      <w:tr w:rsidR="005056AF" w14:paraId="74F50C3D" w14:textId="77777777">
        <w:tblPrEx>
          <w:tblCellMar>
            <w:top w:w="0" w:type="dxa"/>
            <w:bottom w:w="0" w:type="dxa"/>
          </w:tblCellMar>
        </w:tblPrEx>
        <w:tc>
          <w:tcPr>
            <w:tcW w:w="4200" w:type="dxa"/>
            <w:tcMar>
              <w:top w:w="80" w:type="dxa"/>
              <w:left w:w="120" w:type="dxa"/>
              <w:bottom w:w="80" w:type="dxa"/>
              <w:right w:w="120" w:type="dxa"/>
            </w:tcMar>
            <w:vAlign w:val="center"/>
          </w:tcPr>
          <w:p w14:paraId="0A27AA2F" w14:textId="77777777" w:rsidR="005056AF" w:rsidRDefault="00000000">
            <w:r>
              <w:rPr>
                <w:color w:val="000000"/>
              </w:rPr>
              <w:t>Security review, access control, data isolation testing</w:t>
            </w:r>
          </w:p>
        </w:tc>
        <w:tc>
          <w:tcPr>
            <w:tcW w:w="5150" w:type="dxa"/>
            <w:tcMar>
              <w:top w:w="80" w:type="dxa"/>
              <w:left w:w="120" w:type="dxa"/>
              <w:bottom w:w="80" w:type="dxa"/>
              <w:right w:w="120" w:type="dxa"/>
            </w:tcMar>
            <w:vAlign w:val="center"/>
          </w:tcPr>
          <w:p w14:paraId="2EB871DE" w14:textId="77777777" w:rsidR="005056AF" w:rsidRDefault="00000000">
            <w:r>
              <w:rPr>
                <w:color w:val="000000"/>
              </w:rPr>
              <w:t>One-time, prior to go-live</w:t>
            </w:r>
          </w:p>
        </w:tc>
      </w:tr>
      <w:tr w:rsidR="005056AF" w14:paraId="7DABF86E" w14:textId="77777777">
        <w:tblPrEx>
          <w:tblCellMar>
            <w:top w:w="0" w:type="dxa"/>
            <w:bottom w:w="0" w:type="dxa"/>
          </w:tblCellMar>
        </w:tblPrEx>
        <w:tc>
          <w:tcPr>
            <w:tcW w:w="4200" w:type="dxa"/>
            <w:shd w:val="clear" w:color="auto" w:fill="F2F2F2"/>
            <w:tcMar>
              <w:top w:w="80" w:type="dxa"/>
              <w:left w:w="120" w:type="dxa"/>
              <w:bottom w:w="80" w:type="dxa"/>
              <w:right w:w="120" w:type="dxa"/>
            </w:tcMar>
            <w:vAlign w:val="center"/>
          </w:tcPr>
          <w:p w14:paraId="77E38202" w14:textId="77777777" w:rsidR="005056AF" w:rsidRDefault="00000000">
            <w:r>
              <w:rPr>
                <w:color w:val="000000"/>
              </w:rPr>
              <w:t>Ongoing maintenance, knowledge-base updates, support</w:t>
            </w:r>
          </w:p>
        </w:tc>
        <w:tc>
          <w:tcPr>
            <w:tcW w:w="5150" w:type="dxa"/>
            <w:shd w:val="clear" w:color="auto" w:fill="F2F2F2"/>
            <w:tcMar>
              <w:top w:w="80" w:type="dxa"/>
              <w:left w:w="120" w:type="dxa"/>
              <w:bottom w:w="80" w:type="dxa"/>
              <w:right w:w="120" w:type="dxa"/>
            </w:tcMar>
            <w:vAlign w:val="center"/>
          </w:tcPr>
          <w:p w14:paraId="6DFF7EAF" w14:textId="77777777" w:rsidR="005056AF" w:rsidRDefault="00000000">
            <w:r>
              <w:rPr>
                <w:color w:val="000000"/>
              </w:rPr>
              <w:t>Recurring, scaled to number of active companies and update frequency</w:t>
            </w:r>
          </w:p>
        </w:tc>
      </w:tr>
      <w:tr w:rsidR="005056AF" w14:paraId="7A744860" w14:textId="77777777">
        <w:tblPrEx>
          <w:tblCellMar>
            <w:top w:w="0" w:type="dxa"/>
            <w:bottom w:w="0" w:type="dxa"/>
          </w:tblCellMar>
        </w:tblPrEx>
        <w:tc>
          <w:tcPr>
            <w:tcW w:w="4200" w:type="dxa"/>
            <w:tcMar>
              <w:top w:w="80" w:type="dxa"/>
              <w:left w:w="120" w:type="dxa"/>
              <w:bottom w:w="80" w:type="dxa"/>
              <w:right w:w="120" w:type="dxa"/>
            </w:tcMar>
            <w:vAlign w:val="center"/>
          </w:tcPr>
          <w:p w14:paraId="496693B7" w14:textId="77777777" w:rsidR="005056AF" w:rsidRDefault="00000000">
            <w:r>
              <w:rPr>
                <w:color w:val="000000"/>
              </w:rPr>
              <w:t>Training / onboarding support (with FSI/EIoD)</w:t>
            </w:r>
          </w:p>
        </w:tc>
        <w:tc>
          <w:tcPr>
            <w:tcW w:w="5150" w:type="dxa"/>
            <w:tcMar>
              <w:top w:w="80" w:type="dxa"/>
              <w:left w:w="120" w:type="dxa"/>
              <w:bottom w:w="80" w:type="dxa"/>
              <w:right w:w="120" w:type="dxa"/>
            </w:tcMar>
            <w:vAlign w:val="center"/>
          </w:tcPr>
          <w:p w14:paraId="7F3DA1C7" w14:textId="77777777" w:rsidR="005056AF" w:rsidRDefault="00000000">
            <w:r>
              <w:rPr>
                <w:color w:val="000000"/>
              </w:rPr>
              <w:t>One-time per cohort onboarded</w:t>
            </w:r>
          </w:p>
        </w:tc>
      </w:tr>
    </w:tbl>
    <w:p w14:paraId="5A097918" w14:textId="77777777" w:rsidR="005056AF" w:rsidRDefault="00000000">
      <w:pPr>
        <w:spacing w:after="160" w:line="276" w:lineRule="auto"/>
      </w:pPr>
      <w:r>
        <w:rPr>
          <w:sz w:val="21"/>
          <w:szCs w:val="21"/>
        </w:rPr>
        <w:t>Recommended next step: a short joint technical discovery workshop between Corbia Innovation Hub and EGX's IT/security and listing teams to convert this framework into a firm quotation and statement of work.</w:t>
      </w:r>
    </w:p>
    <w:p w14:paraId="38776F0D" w14:textId="77777777" w:rsidR="005056AF" w:rsidRDefault="00000000">
      <w:pPr>
        <w:pStyle w:val="Heading1"/>
        <w:pBdr>
          <w:bottom w:val="single" w:sz="6" w:space="4" w:color="1F3A5F"/>
        </w:pBdr>
        <w:spacing w:before="400" w:after="200"/>
      </w:pPr>
      <w:bookmarkStart w:id="11" w:name="_Toc236087732"/>
      <w:r>
        <w:rPr>
          <w:b/>
          <w:bCs/>
          <w:color w:val="1F3A5F"/>
          <w:sz w:val="30"/>
          <w:szCs w:val="30"/>
        </w:rPr>
        <w:t>8. Implementation Roadmap</w:t>
      </w:r>
      <w:bookmarkEnd w:id="11"/>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5300"/>
        <w:gridCol w:w="2250"/>
      </w:tblGrid>
      <w:tr w:rsidR="005056AF" w14:paraId="7CAE8457" w14:textId="77777777">
        <w:tblPrEx>
          <w:tblCellMar>
            <w:top w:w="0" w:type="dxa"/>
            <w:bottom w:w="0" w:type="dxa"/>
          </w:tblCellMar>
        </w:tblPrEx>
        <w:trPr>
          <w:tblHeader/>
        </w:trPr>
        <w:tc>
          <w:tcPr>
            <w:tcW w:w="1800" w:type="dxa"/>
            <w:shd w:val="clear" w:color="auto" w:fill="1F3A5F"/>
            <w:tcMar>
              <w:top w:w="80" w:type="dxa"/>
              <w:left w:w="120" w:type="dxa"/>
              <w:bottom w:w="80" w:type="dxa"/>
              <w:right w:w="120" w:type="dxa"/>
            </w:tcMar>
            <w:vAlign w:val="center"/>
          </w:tcPr>
          <w:p w14:paraId="58EC1DB0" w14:textId="77777777" w:rsidR="005056AF" w:rsidRDefault="00000000">
            <w:r>
              <w:rPr>
                <w:b/>
                <w:bCs/>
                <w:color w:val="FFFFFF"/>
              </w:rPr>
              <w:t>Phase</w:t>
            </w:r>
          </w:p>
        </w:tc>
        <w:tc>
          <w:tcPr>
            <w:tcW w:w="5300" w:type="dxa"/>
            <w:shd w:val="clear" w:color="auto" w:fill="1F3A5F"/>
            <w:tcMar>
              <w:top w:w="80" w:type="dxa"/>
              <w:left w:w="120" w:type="dxa"/>
              <w:bottom w:w="80" w:type="dxa"/>
              <w:right w:w="120" w:type="dxa"/>
            </w:tcMar>
            <w:vAlign w:val="center"/>
          </w:tcPr>
          <w:p w14:paraId="753BCC37" w14:textId="77777777" w:rsidR="005056AF" w:rsidRDefault="00000000">
            <w:r>
              <w:rPr>
                <w:b/>
                <w:bCs/>
                <w:color w:val="FFFFFF"/>
              </w:rPr>
              <w:t>Focus</w:t>
            </w:r>
          </w:p>
        </w:tc>
        <w:tc>
          <w:tcPr>
            <w:tcW w:w="2250" w:type="dxa"/>
            <w:shd w:val="clear" w:color="auto" w:fill="1F3A5F"/>
            <w:tcMar>
              <w:top w:w="80" w:type="dxa"/>
              <w:left w:w="120" w:type="dxa"/>
              <w:bottom w:w="80" w:type="dxa"/>
              <w:right w:w="120" w:type="dxa"/>
            </w:tcMar>
            <w:vAlign w:val="center"/>
          </w:tcPr>
          <w:p w14:paraId="12164DAC" w14:textId="77777777" w:rsidR="005056AF" w:rsidRDefault="00000000">
            <w:r>
              <w:rPr>
                <w:b/>
                <w:bCs/>
                <w:color w:val="FFFFFF"/>
              </w:rPr>
              <w:t>Indicative Duration</w:t>
            </w:r>
          </w:p>
        </w:tc>
      </w:tr>
      <w:tr w:rsidR="005056AF" w14:paraId="631124EC" w14:textId="77777777">
        <w:tblPrEx>
          <w:tblCellMar>
            <w:top w:w="0" w:type="dxa"/>
            <w:bottom w:w="0" w:type="dxa"/>
          </w:tblCellMar>
        </w:tblPrEx>
        <w:tc>
          <w:tcPr>
            <w:tcW w:w="1800" w:type="dxa"/>
            <w:tcMar>
              <w:top w:w="80" w:type="dxa"/>
              <w:left w:w="120" w:type="dxa"/>
              <w:bottom w:w="80" w:type="dxa"/>
              <w:right w:w="120" w:type="dxa"/>
            </w:tcMar>
            <w:vAlign w:val="center"/>
          </w:tcPr>
          <w:p w14:paraId="4E17FB09" w14:textId="77777777" w:rsidR="005056AF" w:rsidRDefault="00000000">
            <w:r>
              <w:rPr>
                <w:color w:val="000000"/>
              </w:rPr>
              <w:t>Phase 0 — Discovery</w:t>
            </w:r>
          </w:p>
        </w:tc>
        <w:tc>
          <w:tcPr>
            <w:tcW w:w="5300" w:type="dxa"/>
            <w:tcMar>
              <w:top w:w="80" w:type="dxa"/>
              <w:left w:w="120" w:type="dxa"/>
              <w:bottom w:w="80" w:type="dxa"/>
              <w:right w:w="120" w:type="dxa"/>
            </w:tcMar>
            <w:vAlign w:val="center"/>
          </w:tcPr>
          <w:p w14:paraId="090664CF" w14:textId="77777777" w:rsidR="005056AF" w:rsidRDefault="00000000">
            <w:r>
              <w:rPr>
                <w:color w:val="000000"/>
              </w:rPr>
              <w:t>Confirm hosting model, security requirements, source documents, and pilot company selection</w:t>
            </w:r>
          </w:p>
        </w:tc>
        <w:tc>
          <w:tcPr>
            <w:tcW w:w="2250" w:type="dxa"/>
            <w:tcMar>
              <w:top w:w="80" w:type="dxa"/>
              <w:left w:w="120" w:type="dxa"/>
              <w:bottom w:w="80" w:type="dxa"/>
              <w:right w:w="120" w:type="dxa"/>
            </w:tcMar>
            <w:vAlign w:val="center"/>
          </w:tcPr>
          <w:p w14:paraId="55561930" w14:textId="3C9DF6BD" w:rsidR="005056AF" w:rsidRDefault="00000000">
            <w:r>
              <w:rPr>
                <w:color w:val="000000"/>
              </w:rPr>
              <w:t>2 weeks</w:t>
            </w:r>
          </w:p>
        </w:tc>
      </w:tr>
      <w:tr w:rsidR="005056AF" w14:paraId="54A062B0" w14:textId="77777777">
        <w:tblPrEx>
          <w:tblCellMar>
            <w:top w:w="0" w:type="dxa"/>
            <w:bottom w:w="0" w:type="dxa"/>
          </w:tblCellMar>
        </w:tblPrEx>
        <w:tc>
          <w:tcPr>
            <w:tcW w:w="1800" w:type="dxa"/>
            <w:shd w:val="clear" w:color="auto" w:fill="F2F2F2"/>
            <w:tcMar>
              <w:top w:w="80" w:type="dxa"/>
              <w:left w:w="120" w:type="dxa"/>
              <w:bottom w:w="80" w:type="dxa"/>
              <w:right w:w="120" w:type="dxa"/>
            </w:tcMar>
            <w:vAlign w:val="center"/>
          </w:tcPr>
          <w:p w14:paraId="23C24D73" w14:textId="77777777" w:rsidR="005056AF" w:rsidRDefault="00000000">
            <w:r>
              <w:rPr>
                <w:color w:val="000000"/>
              </w:rPr>
              <w:t>Phase 1 — Pilot Build</w:t>
            </w:r>
          </w:p>
        </w:tc>
        <w:tc>
          <w:tcPr>
            <w:tcW w:w="5300" w:type="dxa"/>
            <w:shd w:val="clear" w:color="auto" w:fill="F2F2F2"/>
            <w:tcMar>
              <w:top w:w="80" w:type="dxa"/>
              <w:left w:w="120" w:type="dxa"/>
              <w:bottom w:w="80" w:type="dxa"/>
              <w:right w:w="120" w:type="dxa"/>
            </w:tcMar>
            <w:vAlign w:val="center"/>
          </w:tcPr>
          <w:p w14:paraId="7021F4D7" w14:textId="77777777" w:rsidR="005056AF" w:rsidRDefault="00000000">
            <w:r>
              <w:rPr>
                <w:color w:val="000000"/>
              </w:rPr>
              <w:t>Build centralized RAG platform with shared knowledge base; onboard pilot companies</w:t>
            </w:r>
          </w:p>
        </w:tc>
        <w:tc>
          <w:tcPr>
            <w:tcW w:w="2250" w:type="dxa"/>
            <w:shd w:val="clear" w:color="auto" w:fill="F2F2F2"/>
            <w:tcMar>
              <w:top w:w="80" w:type="dxa"/>
              <w:left w:w="120" w:type="dxa"/>
              <w:bottom w:w="80" w:type="dxa"/>
              <w:right w:w="120" w:type="dxa"/>
            </w:tcMar>
            <w:vAlign w:val="center"/>
          </w:tcPr>
          <w:p w14:paraId="61BAC18F" w14:textId="79F914CE" w:rsidR="005056AF" w:rsidRDefault="00F309F6">
            <w:r>
              <w:rPr>
                <w:color w:val="000000"/>
              </w:rPr>
              <w:t>4</w:t>
            </w:r>
            <w:r w:rsidR="00000000">
              <w:rPr>
                <w:color w:val="000000"/>
              </w:rPr>
              <w:t xml:space="preserve"> weeks</w:t>
            </w:r>
          </w:p>
        </w:tc>
      </w:tr>
      <w:tr w:rsidR="005056AF" w14:paraId="747C4F47" w14:textId="77777777">
        <w:tblPrEx>
          <w:tblCellMar>
            <w:top w:w="0" w:type="dxa"/>
            <w:bottom w:w="0" w:type="dxa"/>
          </w:tblCellMar>
        </w:tblPrEx>
        <w:tc>
          <w:tcPr>
            <w:tcW w:w="1800" w:type="dxa"/>
            <w:tcMar>
              <w:top w:w="80" w:type="dxa"/>
              <w:left w:w="120" w:type="dxa"/>
              <w:bottom w:w="80" w:type="dxa"/>
              <w:right w:w="120" w:type="dxa"/>
            </w:tcMar>
            <w:vAlign w:val="center"/>
          </w:tcPr>
          <w:p w14:paraId="27F6EEAD" w14:textId="77777777" w:rsidR="005056AF" w:rsidRDefault="00000000">
            <w:r>
              <w:rPr>
                <w:color w:val="000000"/>
              </w:rPr>
              <w:t>Phase 2 — Pilot Evaluation</w:t>
            </w:r>
          </w:p>
        </w:tc>
        <w:tc>
          <w:tcPr>
            <w:tcW w:w="5300" w:type="dxa"/>
            <w:tcMar>
              <w:top w:w="80" w:type="dxa"/>
              <w:left w:w="120" w:type="dxa"/>
              <w:bottom w:w="80" w:type="dxa"/>
              <w:right w:w="120" w:type="dxa"/>
            </w:tcMar>
            <w:vAlign w:val="center"/>
          </w:tcPr>
          <w:p w14:paraId="472F3C89" w14:textId="77777777" w:rsidR="005056AF" w:rsidRDefault="00000000">
            <w:r>
              <w:rPr>
                <w:color w:val="000000"/>
              </w:rPr>
              <w:t>Run pilot with FSI/EIoD training cohort; measure against success metrics in the PRD</w:t>
            </w:r>
          </w:p>
        </w:tc>
        <w:tc>
          <w:tcPr>
            <w:tcW w:w="2250" w:type="dxa"/>
            <w:tcMar>
              <w:top w:w="80" w:type="dxa"/>
              <w:left w:w="120" w:type="dxa"/>
              <w:bottom w:w="80" w:type="dxa"/>
              <w:right w:w="120" w:type="dxa"/>
            </w:tcMar>
            <w:vAlign w:val="center"/>
          </w:tcPr>
          <w:p w14:paraId="7A323DDD" w14:textId="2BCFEF16" w:rsidR="005056AF" w:rsidRDefault="00F309F6">
            <w:r>
              <w:rPr>
                <w:color w:val="000000"/>
              </w:rPr>
              <w:t>3</w:t>
            </w:r>
            <w:r w:rsidR="00000000">
              <w:rPr>
                <w:color w:val="000000"/>
              </w:rPr>
              <w:t xml:space="preserve"> weeks</w:t>
            </w:r>
          </w:p>
        </w:tc>
      </w:tr>
      <w:tr w:rsidR="005056AF" w14:paraId="43982F38" w14:textId="77777777">
        <w:tblPrEx>
          <w:tblCellMar>
            <w:top w:w="0" w:type="dxa"/>
            <w:bottom w:w="0" w:type="dxa"/>
          </w:tblCellMar>
        </w:tblPrEx>
        <w:tc>
          <w:tcPr>
            <w:tcW w:w="1800" w:type="dxa"/>
            <w:shd w:val="clear" w:color="auto" w:fill="F2F2F2"/>
            <w:tcMar>
              <w:top w:w="80" w:type="dxa"/>
              <w:left w:w="120" w:type="dxa"/>
              <w:bottom w:w="80" w:type="dxa"/>
              <w:right w:w="120" w:type="dxa"/>
            </w:tcMar>
            <w:vAlign w:val="center"/>
          </w:tcPr>
          <w:p w14:paraId="5FFA4AB5" w14:textId="77777777" w:rsidR="005056AF" w:rsidRDefault="00000000">
            <w:r>
              <w:rPr>
                <w:color w:val="000000"/>
              </w:rPr>
              <w:t>Phase 3 — Full Cohort Rollout</w:t>
            </w:r>
          </w:p>
        </w:tc>
        <w:tc>
          <w:tcPr>
            <w:tcW w:w="5300" w:type="dxa"/>
            <w:shd w:val="clear" w:color="auto" w:fill="F2F2F2"/>
            <w:tcMar>
              <w:top w:w="80" w:type="dxa"/>
              <w:left w:w="120" w:type="dxa"/>
              <w:bottom w:w="80" w:type="dxa"/>
              <w:right w:w="120" w:type="dxa"/>
            </w:tcMar>
            <w:vAlign w:val="center"/>
          </w:tcPr>
          <w:p w14:paraId="2010DB98" w14:textId="77777777" w:rsidR="005056AF" w:rsidRDefault="00000000">
            <w:r>
              <w:rPr>
                <w:color w:val="000000"/>
              </w:rPr>
              <w:t>Onboard remaining companies from the 20-company cohort; refine based on pilot feedback</w:t>
            </w:r>
          </w:p>
        </w:tc>
        <w:tc>
          <w:tcPr>
            <w:tcW w:w="2250" w:type="dxa"/>
            <w:shd w:val="clear" w:color="auto" w:fill="F2F2F2"/>
            <w:tcMar>
              <w:top w:w="80" w:type="dxa"/>
              <w:left w:w="120" w:type="dxa"/>
              <w:bottom w:w="80" w:type="dxa"/>
              <w:right w:w="120" w:type="dxa"/>
            </w:tcMar>
            <w:vAlign w:val="center"/>
          </w:tcPr>
          <w:p w14:paraId="41C527E4" w14:textId="4A582EE2" w:rsidR="005056AF" w:rsidRDefault="00F309F6">
            <w:r>
              <w:rPr>
                <w:color w:val="000000"/>
              </w:rPr>
              <w:t>4</w:t>
            </w:r>
            <w:r w:rsidR="00000000">
              <w:rPr>
                <w:color w:val="000000"/>
              </w:rPr>
              <w:t xml:space="preserve"> weeks</w:t>
            </w:r>
          </w:p>
        </w:tc>
      </w:tr>
      <w:tr w:rsidR="005056AF" w14:paraId="35DBFA17" w14:textId="77777777">
        <w:tblPrEx>
          <w:tblCellMar>
            <w:top w:w="0" w:type="dxa"/>
            <w:bottom w:w="0" w:type="dxa"/>
          </w:tblCellMar>
        </w:tblPrEx>
        <w:tc>
          <w:tcPr>
            <w:tcW w:w="1800" w:type="dxa"/>
            <w:tcMar>
              <w:top w:w="80" w:type="dxa"/>
              <w:left w:w="120" w:type="dxa"/>
              <w:bottom w:w="80" w:type="dxa"/>
              <w:right w:w="120" w:type="dxa"/>
            </w:tcMar>
            <w:vAlign w:val="center"/>
          </w:tcPr>
          <w:p w14:paraId="40584592" w14:textId="77777777" w:rsidR="005056AF" w:rsidRDefault="00000000">
            <w:r>
              <w:rPr>
                <w:color w:val="000000"/>
              </w:rPr>
              <w:t>Phase 4 — Scale &amp; Extend</w:t>
            </w:r>
          </w:p>
        </w:tc>
        <w:tc>
          <w:tcPr>
            <w:tcW w:w="5300" w:type="dxa"/>
            <w:tcMar>
              <w:top w:w="80" w:type="dxa"/>
              <w:left w:w="120" w:type="dxa"/>
              <w:bottom w:w="80" w:type="dxa"/>
              <w:right w:w="120" w:type="dxa"/>
            </w:tcMar>
            <w:vAlign w:val="center"/>
          </w:tcPr>
          <w:p w14:paraId="1571BDCB" w14:textId="77777777" w:rsidR="005056AF" w:rsidRDefault="00000000">
            <w:r>
              <w:rPr>
                <w:color w:val="000000"/>
              </w:rPr>
              <w:t>Extend to future listing cohorts; evaluate need for dedicated per-company instances</w:t>
            </w:r>
          </w:p>
        </w:tc>
        <w:tc>
          <w:tcPr>
            <w:tcW w:w="2250" w:type="dxa"/>
            <w:tcMar>
              <w:top w:w="80" w:type="dxa"/>
              <w:left w:w="120" w:type="dxa"/>
              <w:bottom w:w="80" w:type="dxa"/>
              <w:right w:w="120" w:type="dxa"/>
            </w:tcMar>
            <w:vAlign w:val="center"/>
          </w:tcPr>
          <w:p w14:paraId="478AE0B9" w14:textId="77777777" w:rsidR="005056AF" w:rsidRDefault="00000000">
            <w:r>
              <w:rPr>
                <w:color w:val="000000"/>
              </w:rPr>
              <w:t>Ongoing</w:t>
            </w:r>
          </w:p>
        </w:tc>
      </w:tr>
    </w:tbl>
    <w:p w14:paraId="531618E0" w14:textId="77777777" w:rsidR="005056AF" w:rsidRDefault="00000000">
      <w:pPr>
        <w:pStyle w:val="Heading1"/>
        <w:pBdr>
          <w:bottom w:val="single" w:sz="6" w:space="4" w:color="1F3A5F"/>
        </w:pBdr>
        <w:spacing w:before="400" w:after="200"/>
      </w:pPr>
      <w:bookmarkStart w:id="12" w:name="_Toc236087733"/>
      <w:r>
        <w:rPr>
          <w:b/>
          <w:bCs/>
          <w:color w:val="1F3A5F"/>
          <w:sz w:val="30"/>
          <w:szCs w:val="30"/>
        </w:rPr>
        <w:t>9. Governance and Partnership Model</w:t>
      </w:r>
      <w:bookmarkEnd w:id="12"/>
    </w:p>
    <w:p w14:paraId="11C51F05" w14:textId="77777777" w:rsidR="005056AF" w:rsidRDefault="00000000">
      <w:pPr>
        <w:pStyle w:val="ListParagraph"/>
        <w:numPr>
          <w:ilvl w:val="0"/>
          <w:numId w:val="2"/>
        </w:numPr>
        <w:spacing w:after="80" w:line="260" w:lineRule="auto"/>
      </w:pPr>
      <w:r>
        <w:rPr>
          <w:sz w:val="21"/>
          <w:szCs w:val="21"/>
        </w:rPr>
        <w:t>EGX and/or FRA to act as data governance owner for the shared regulatory knowledge base, approving all source content prior to ingestion.</w:t>
      </w:r>
    </w:p>
    <w:p w14:paraId="5243CDE5" w14:textId="77777777" w:rsidR="005056AF" w:rsidRDefault="00000000">
      <w:pPr>
        <w:pStyle w:val="ListParagraph"/>
        <w:numPr>
          <w:ilvl w:val="0"/>
          <w:numId w:val="2"/>
        </w:numPr>
        <w:spacing w:after="80" w:line="260" w:lineRule="auto"/>
      </w:pPr>
      <w:r>
        <w:rPr>
          <w:sz w:val="21"/>
          <w:szCs w:val="21"/>
        </w:rPr>
        <w:t>Corbia Innovation Hub to act as technology delivery and hosting partner, under a formal data-processing and confidentiality agreement.</w:t>
      </w:r>
    </w:p>
    <w:p w14:paraId="0E3EA42F" w14:textId="77777777" w:rsidR="005056AF" w:rsidRDefault="00000000">
      <w:pPr>
        <w:pStyle w:val="ListParagraph"/>
        <w:numPr>
          <w:ilvl w:val="0"/>
          <w:numId w:val="2"/>
        </w:numPr>
        <w:spacing w:after="80" w:line="260" w:lineRule="auto"/>
      </w:pPr>
      <w:r>
        <w:rPr>
          <w:sz w:val="21"/>
          <w:szCs w:val="21"/>
        </w:rPr>
        <w:t>Each company retains ownership and control of its own private documents; no company's data is visible to another company or to Corbia beyond agreed technical administration.</w:t>
      </w:r>
    </w:p>
    <w:p w14:paraId="142D5853" w14:textId="77777777" w:rsidR="005056AF" w:rsidRDefault="00000000">
      <w:pPr>
        <w:pStyle w:val="ListParagraph"/>
        <w:numPr>
          <w:ilvl w:val="0"/>
          <w:numId w:val="2"/>
        </w:numPr>
        <w:spacing w:after="80" w:line="260" w:lineRule="auto"/>
      </w:pPr>
      <w:r>
        <w:rPr>
          <w:sz w:val="21"/>
          <w:szCs w:val="21"/>
        </w:rPr>
        <w:lastRenderedPageBreak/>
        <w:t>A joint steering group (EGX, FRA/State Ownership Policy Unit, FSI/EIoD, Corbia) to oversee the pilot and approve scaling decisions.</w:t>
      </w:r>
    </w:p>
    <w:p w14:paraId="2AA212F0" w14:textId="77777777" w:rsidR="005056AF" w:rsidRDefault="00000000">
      <w:pPr>
        <w:pStyle w:val="Heading1"/>
        <w:pBdr>
          <w:bottom w:val="single" w:sz="6" w:space="4" w:color="1F3A5F"/>
        </w:pBdr>
        <w:spacing w:before="400" w:after="200"/>
      </w:pPr>
      <w:bookmarkStart w:id="13" w:name="_Toc236087734"/>
      <w:r>
        <w:rPr>
          <w:b/>
          <w:bCs/>
          <w:color w:val="1F3A5F"/>
          <w:sz w:val="30"/>
          <w:szCs w:val="30"/>
        </w:rPr>
        <w:t>10. Risks and Mitigations</w:t>
      </w:r>
      <w:bookmarkEnd w:id="13"/>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50"/>
      </w:tblGrid>
      <w:tr w:rsidR="005056AF" w14:paraId="240C363A" w14:textId="77777777">
        <w:tblPrEx>
          <w:tblCellMar>
            <w:top w:w="0" w:type="dxa"/>
            <w:bottom w:w="0" w:type="dxa"/>
          </w:tblCellMar>
        </w:tblPrEx>
        <w:trPr>
          <w:tblHeader/>
        </w:trPr>
        <w:tc>
          <w:tcPr>
            <w:tcW w:w="4400" w:type="dxa"/>
            <w:shd w:val="clear" w:color="auto" w:fill="1F3A5F"/>
            <w:tcMar>
              <w:top w:w="80" w:type="dxa"/>
              <w:left w:w="120" w:type="dxa"/>
              <w:bottom w:w="80" w:type="dxa"/>
              <w:right w:w="120" w:type="dxa"/>
            </w:tcMar>
            <w:vAlign w:val="center"/>
          </w:tcPr>
          <w:p w14:paraId="26BD502A" w14:textId="77777777" w:rsidR="005056AF" w:rsidRDefault="00000000">
            <w:r>
              <w:rPr>
                <w:b/>
                <w:bCs/>
                <w:color w:val="FFFFFF"/>
              </w:rPr>
              <w:t>Risk</w:t>
            </w:r>
          </w:p>
        </w:tc>
        <w:tc>
          <w:tcPr>
            <w:tcW w:w="4950" w:type="dxa"/>
            <w:shd w:val="clear" w:color="auto" w:fill="1F3A5F"/>
            <w:tcMar>
              <w:top w:w="80" w:type="dxa"/>
              <w:left w:w="120" w:type="dxa"/>
              <w:bottom w:w="80" w:type="dxa"/>
              <w:right w:w="120" w:type="dxa"/>
            </w:tcMar>
            <w:vAlign w:val="center"/>
          </w:tcPr>
          <w:p w14:paraId="47B91FF8" w14:textId="77777777" w:rsidR="005056AF" w:rsidRDefault="00000000">
            <w:r>
              <w:rPr>
                <w:b/>
                <w:bCs/>
                <w:color w:val="FFFFFF"/>
              </w:rPr>
              <w:t>Mitigation</w:t>
            </w:r>
          </w:p>
        </w:tc>
      </w:tr>
      <w:tr w:rsidR="005056AF" w14:paraId="6D58790C" w14:textId="77777777">
        <w:tblPrEx>
          <w:tblCellMar>
            <w:top w:w="0" w:type="dxa"/>
            <w:bottom w:w="0" w:type="dxa"/>
          </w:tblCellMar>
        </w:tblPrEx>
        <w:tc>
          <w:tcPr>
            <w:tcW w:w="4400" w:type="dxa"/>
            <w:tcMar>
              <w:top w:w="80" w:type="dxa"/>
              <w:left w:w="120" w:type="dxa"/>
              <w:bottom w:w="80" w:type="dxa"/>
              <w:right w:w="120" w:type="dxa"/>
            </w:tcMar>
            <w:vAlign w:val="center"/>
          </w:tcPr>
          <w:p w14:paraId="03890D57" w14:textId="77777777" w:rsidR="005056AF" w:rsidRDefault="00000000">
            <w:r>
              <w:rPr>
                <w:color w:val="000000"/>
              </w:rPr>
              <w:t>Perception of a single vendor controlling a sensitive national-priority data asset</w:t>
            </w:r>
          </w:p>
        </w:tc>
        <w:tc>
          <w:tcPr>
            <w:tcW w:w="4950" w:type="dxa"/>
            <w:tcMar>
              <w:top w:w="80" w:type="dxa"/>
              <w:left w:w="120" w:type="dxa"/>
              <w:bottom w:w="80" w:type="dxa"/>
              <w:right w:w="120" w:type="dxa"/>
            </w:tcMar>
            <w:vAlign w:val="center"/>
          </w:tcPr>
          <w:p w14:paraId="3BD173E9" w14:textId="77777777" w:rsidR="005056AF" w:rsidRDefault="00000000">
            <w:r>
              <w:rPr>
                <w:color w:val="000000"/>
              </w:rPr>
              <w:t>Formal governance agreement; EGX/FRA retain content approval rights and data ownership; joint steering group oversight.</w:t>
            </w:r>
          </w:p>
        </w:tc>
      </w:tr>
      <w:tr w:rsidR="005056AF" w14:paraId="41BFC337" w14:textId="77777777">
        <w:tblPrEx>
          <w:tblCellMar>
            <w:top w:w="0" w:type="dxa"/>
            <w:bottom w:w="0" w:type="dxa"/>
          </w:tblCellMar>
        </w:tblPrEx>
        <w:tc>
          <w:tcPr>
            <w:tcW w:w="4400" w:type="dxa"/>
            <w:shd w:val="clear" w:color="auto" w:fill="F2F2F2"/>
            <w:tcMar>
              <w:top w:w="80" w:type="dxa"/>
              <w:left w:w="120" w:type="dxa"/>
              <w:bottom w:w="80" w:type="dxa"/>
              <w:right w:w="120" w:type="dxa"/>
            </w:tcMar>
            <w:vAlign w:val="center"/>
          </w:tcPr>
          <w:p w14:paraId="7628C588" w14:textId="77777777" w:rsidR="005056AF" w:rsidRDefault="00000000">
            <w:r>
              <w:rPr>
                <w:color w:val="000000"/>
              </w:rPr>
              <w:t>Hosting/data residency concerns</w:t>
            </w:r>
          </w:p>
        </w:tc>
        <w:tc>
          <w:tcPr>
            <w:tcW w:w="4950" w:type="dxa"/>
            <w:shd w:val="clear" w:color="auto" w:fill="F2F2F2"/>
            <w:tcMar>
              <w:top w:w="80" w:type="dxa"/>
              <w:left w:w="120" w:type="dxa"/>
              <w:bottom w:w="80" w:type="dxa"/>
              <w:right w:w="120" w:type="dxa"/>
            </w:tcMar>
            <w:vAlign w:val="center"/>
          </w:tcPr>
          <w:p w14:paraId="152EDC22" w14:textId="77777777" w:rsidR="005056AF" w:rsidRDefault="00000000">
            <w:r>
              <w:rPr>
                <w:color w:val="000000"/>
              </w:rPr>
              <w:t>Infrastructure hosted in Egypt on EGX/FRA-approved or jointly governed environment.</w:t>
            </w:r>
          </w:p>
        </w:tc>
      </w:tr>
      <w:tr w:rsidR="005056AF" w14:paraId="4F9511A3" w14:textId="77777777">
        <w:tblPrEx>
          <w:tblCellMar>
            <w:top w:w="0" w:type="dxa"/>
            <w:bottom w:w="0" w:type="dxa"/>
          </w:tblCellMar>
        </w:tblPrEx>
        <w:tc>
          <w:tcPr>
            <w:tcW w:w="4400" w:type="dxa"/>
            <w:tcMar>
              <w:top w:w="80" w:type="dxa"/>
              <w:left w:w="120" w:type="dxa"/>
              <w:bottom w:w="80" w:type="dxa"/>
              <w:right w:w="120" w:type="dxa"/>
            </w:tcMar>
            <w:vAlign w:val="center"/>
          </w:tcPr>
          <w:p w14:paraId="74B0FE07" w14:textId="77777777" w:rsidR="005056AF" w:rsidRDefault="00000000">
            <w:r>
              <w:rPr>
                <w:color w:val="000000"/>
              </w:rPr>
              <w:t>Cost uncertainty at this stage</w:t>
            </w:r>
          </w:p>
        </w:tc>
        <w:tc>
          <w:tcPr>
            <w:tcW w:w="4950" w:type="dxa"/>
            <w:tcMar>
              <w:top w:w="80" w:type="dxa"/>
              <w:left w:w="120" w:type="dxa"/>
              <w:bottom w:w="80" w:type="dxa"/>
              <w:right w:w="120" w:type="dxa"/>
            </w:tcMar>
            <w:vAlign w:val="center"/>
          </w:tcPr>
          <w:p w14:paraId="450E45B5" w14:textId="77777777" w:rsidR="005056AF" w:rsidRDefault="00000000">
            <w:r>
              <w:rPr>
                <w:color w:val="000000"/>
              </w:rPr>
              <w:t>Phase 0 discovery workshop to convert indicative ranges into a firm, scoped quotation before commitment.</w:t>
            </w:r>
          </w:p>
        </w:tc>
      </w:tr>
      <w:tr w:rsidR="005056AF" w14:paraId="65AAA3A1" w14:textId="77777777">
        <w:tblPrEx>
          <w:tblCellMar>
            <w:top w:w="0" w:type="dxa"/>
            <w:bottom w:w="0" w:type="dxa"/>
          </w:tblCellMar>
        </w:tblPrEx>
        <w:tc>
          <w:tcPr>
            <w:tcW w:w="4400" w:type="dxa"/>
            <w:shd w:val="clear" w:color="auto" w:fill="F2F2F2"/>
            <w:tcMar>
              <w:top w:w="80" w:type="dxa"/>
              <w:left w:w="120" w:type="dxa"/>
              <w:bottom w:w="80" w:type="dxa"/>
              <w:right w:w="120" w:type="dxa"/>
            </w:tcMar>
            <w:vAlign w:val="center"/>
          </w:tcPr>
          <w:p w14:paraId="24D26EBC" w14:textId="77777777" w:rsidR="005056AF" w:rsidRDefault="00000000">
            <w:r>
              <w:rPr>
                <w:color w:val="000000"/>
              </w:rPr>
              <w:t>Low engagement from cohort companies</w:t>
            </w:r>
          </w:p>
        </w:tc>
        <w:tc>
          <w:tcPr>
            <w:tcW w:w="4950" w:type="dxa"/>
            <w:shd w:val="clear" w:color="auto" w:fill="F2F2F2"/>
            <w:tcMar>
              <w:top w:w="80" w:type="dxa"/>
              <w:left w:w="120" w:type="dxa"/>
              <w:bottom w:w="80" w:type="dxa"/>
              <w:right w:w="120" w:type="dxa"/>
            </w:tcMar>
            <w:vAlign w:val="center"/>
          </w:tcPr>
          <w:p w14:paraId="37EEF7F1" w14:textId="77777777" w:rsidR="005056AF" w:rsidRDefault="00000000">
            <w:r>
              <w:rPr>
                <w:color w:val="000000"/>
              </w:rPr>
              <w:t>Integrate the tool directly into existing FSI/EIoD training sessions rather than launching it as a stand-alone tool.</w:t>
            </w:r>
          </w:p>
        </w:tc>
      </w:tr>
    </w:tbl>
    <w:p w14:paraId="5E54317A" w14:textId="77777777" w:rsidR="005056AF" w:rsidRDefault="00000000">
      <w:pPr>
        <w:pStyle w:val="Heading1"/>
        <w:pBdr>
          <w:bottom w:val="single" w:sz="6" w:space="4" w:color="1F3A5F"/>
        </w:pBdr>
        <w:spacing w:before="400" w:after="200"/>
      </w:pPr>
      <w:bookmarkStart w:id="14" w:name="_Toc236087735"/>
      <w:r>
        <w:rPr>
          <w:b/>
          <w:bCs/>
          <w:color w:val="1F3A5F"/>
          <w:sz w:val="30"/>
          <w:szCs w:val="30"/>
        </w:rPr>
        <w:t>11. Expected Return and Success Measures</w:t>
      </w:r>
      <w:bookmarkEnd w:id="14"/>
    </w:p>
    <w:p w14:paraId="5EFAF4ED" w14:textId="77777777" w:rsidR="005056AF" w:rsidRDefault="00000000">
      <w:pPr>
        <w:spacing w:after="160" w:line="276" w:lineRule="auto"/>
      </w:pPr>
      <w:r>
        <w:rPr>
          <w:sz w:val="21"/>
          <w:szCs w:val="21"/>
        </w:rPr>
        <w:t>Success will be measured primarily in reduced time-to-readiness across the cohort and reduced burden on FSI/EIoD/EGX staff answering repetitive questions, rather than in direct revenue terms, since the primary beneficiary in Phase 1 is the national listing-readiness programme itself. Detailed success metrics and targets are set out in the companion PRD (Section 13).</w:t>
      </w:r>
    </w:p>
    <w:p w14:paraId="5C931F9B" w14:textId="77777777" w:rsidR="005056AF" w:rsidRDefault="00000000">
      <w:pPr>
        <w:pStyle w:val="Heading1"/>
        <w:pBdr>
          <w:bottom w:val="single" w:sz="6" w:space="4" w:color="1F3A5F"/>
        </w:pBdr>
        <w:spacing w:before="400" w:after="200"/>
      </w:pPr>
      <w:bookmarkStart w:id="15" w:name="_Toc236087736"/>
      <w:r>
        <w:rPr>
          <w:b/>
          <w:bCs/>
          <w:color w:val="1F3A5F"/>
          <w:sz w:val="30"/>
          <w:szCs w:val="30"/>
        </w:rPr>
        <w:t>12. Recommendation and Next Steps</w:t>
      </w:r>
      <w:bookmarkEnd w:id="15"/>
    </w:p>
    <w:p w14:paraId="133072A6" w14:textId="77777777" w:rsidR="005056AF" w:rsidRDefault="00000000">
      <w:pPr>
        <w:pStyle w:val="ListParagraph"/>
        <w:numPr>
          <w:ilvl w:val="0"/>
          <w:numId w:val="2"/>
        </w:numPr>
        <w:spacing w:after="80" w:line="260" w:lineRule="auto"/>
      </w:pPr>
      <w:r>
        <w:rPr>
          <w:sz w:val="21"/>
          <w:szCs w:val="21"/>
        </w:rPr>
        <w:t>Approve a Phase 0 discovery workshop between Corbia Innovation Hub and EGX's IT, security and listing teams.</w:t>
      </w:r>
    </w:p>
    <w:p w14:paraId="44AB0F04" w14:textId="77777777" w:rsidR="005056AF" w:rsidRDefault="00000000">
      <w:pPr>
        <w:pStyle w:val="ListParagraph"/>
        <w:numPr>
          <w:ilvl w:val="0"/>
          <w:numId w:val="2"/>
        </w:numPr>
        <w:spacing w:after="80" w:line="260" w:lineRule="auto"/>
      </w:pPr>
      <w:r>
        <w:rPr>
          <w:sz w:val="21"/>
          <w:szCs w:val="21"/>
        </w:rPr>
        <w:t>Confirm the hosting and data governance model (EGX-hosted, FRA-hosted, or jointly governed).</w:t>
      </w:r>
    </w:p>
    <w:p w14:paraId="716BD595" w14:textId="77777777" w:rsidR="005056AF" w:rsidRDefault="00000000">
      <w:pPr>
        <w:pStyle w:val="ListParagraph"/>
        <w:numPr>
          <w:ilvl w:val="0"/>
          <w:numId w:val="2"/>
        </w:numPr>
        <w:spacing w:after="80" w:line="260" w:lineRule="auto"/>
      </w:pPr>
      <w:r>
        <w:rPr>
          <w:sz w:val="21"/>
          <w:szCs w:val="21"/>
        </w:rPr>
        <w:t>Select a pilot subset of the 20-company cohort to validate the platform before full rollout.</w:t>
      </w:r>
    </w:p>
    <w:p w14:paraId="50ED99C2" w14:textId="1C7EE9D6" w:rsidR="00CA0ACE" w:rsidRDefault="00000000">
      <w:pPr>
        <w:pStyle w:val="ListParagraph"/>
        <w:numPr>
          <w:ilvl w:val="0"/>
          <w:numId w:val="2"/>
        </w:numPr>
        <w:spacing w:after="80" w:line="260" w:lineRule="auto"/>
        <w:rPr>
          <w:sz w:val="21"/>
          <w:szCs w:val="21"/>
        </w:rPr>
      </w:pPr>
      <w:r>
        <w:rPr>
          <w:sz w:val="21"/>
          <w:szCs w:val="21"/>
        </w:rPr>
        <w:t>Establish the joint steering group to oversee delivery and future scaling.</w:t>
      </w:r>
    </w:p>
    <w:p w14:paraId="4BDD881D" w14:textId="77777777" w:rsidR="00CA0ACE" w:rsidRDefault="00CA0ACE">
      <w:pPr>
        <w:rPr>
          <w:sz w:val="21"/>
          <w:szCs w:val="21"/>
        </w:rPr>
      </w:pPr>
      <w:r>
        <w:rPr>
          <w:sz w:val="21"/>
          <w:szCs w:val="21"/>
        </w:rPr>
        <w:br w:type="page"/>
      </w:r>
    </w:p>
    <w:p w14:paraId="475181C8" w14:textId="281ABAB6" w:rsidR="00E07876" w:rsidRDefault="00CA0ACE" w:rsidP="00E07876">
      <w:pPr>
        <w:spacing w:after="80" w:line="260" w:lineRule="auto"/>
      </w:pPr>
      <w:r>
        <w:lastRenderedPageBreak/>
        <w:t xml:space="preserve">Short note about </w:t>
      </w:r>
      <w:r w:rsidR="00E07876">
        <w:t>proposer</w:t>
      </w:r>
      <w:r>
        <w:t>:</w:t>
      </w:r>
      <w:r w:rsidR="003B1A0C">
        <w:t xml:space="preserve"> </w:t>
      </w:r>
      <w:r w:rsidR="003B1A0C" w:rsidRPr="003B1A0C">
        <w:rPr>
          <w:b/>
          <w:bCs/>
        </w:rPr>
        <w:t>Hossam Zein</w:t>
      </w:r>
      <w:r>
        <w:br/>
      </w:r>
      <w:r w:rsidR="00E07876" w:rsidRPr="00E07876">
        <w:t> </w:t>
      </w:r>
      <w:r w:rsidR="00E07876">
        <w:t>A t</w:t>
      </w:r>
      <w:r w:rsidR="00E07876" w:rsidRPr="00E07876">
        <w:t>echnology executive</w:t>
      </w:r>
      <w:r w:rsidR="00E07876">
        <w:t xml:space="preserve"> manager</w:t>
      </w:r>
      <w:r w:rsidR="00E07876" w:rsidRPr="00E07876">
        <w:t xml:space="preserve"> and communications engineer</w:t>
      </w:r>
      <w:r w:rsidR="00E07876">
        <w:t xml:space="preserve"> and DBA holder</w:t>
      </w:r>
      <w:r w:rsidR="00E07876" w:rsidRPr="00E07876">
        <w:t xml:space="preserve"> with 14+ years across private, governmental, U</w:t>
      </w:r>
      <w:r w:rsidR="00E07876">
        <w:t>N mission</w:t>
      </w:r>
      <w:r w:rsidR="00E07876" w:rsidRPr="00E07876">
        <w:t>. As CTO and founding team member (2021–present)</w:t>
      </w:r>
      <w:r w:rsidR="003B1A0C">
        <w:t xml:space="preserve"> at ebda for projects devleopment</w:t>
      </w:r>
      <w:r w:rsidR="00E07876" w:rsidRPr="00E07876">
        <w:t>, he leads group digital strategy and co-led a national industrial digital transformation mega-project. He has built 12+ applied AI/LLM systems, holds a DBA in Digital Governance &amp; Business Automation and an MBA, and writes and publishes on digital transformation, AI, and national security — including main authorship of a paper accepted at ITC Egypt 2026, articles for Cabinet think-tank and defense magazines, and contributions to a national-security strategy book. Based in Cairo.</w:t>
      </w:r>
      <w:r w:rsidR="00E07876">
        <w:br/>
        <w:t xml:space="preserve">mail: </w:t>
      </w:r>
      <w:hyperlink r:id="rId7" w:history="1">
        <w:r w:rsidR="00E07876" w:rsidRPr="00C215AC">
          <w:rPr>
            <w:rStyle w:val="Hyperlink"/>
          </w:rPr>
          <w:t>hossamzein@engineer.com</w:t>
        </w:r>
      </w:hyperlink>
      <w:r w:rsidR="00E07876">
        <w:t xml:space="preserve"> | +201118225899 | </w:t>
      </w:r>
      <w:hyperlink r:id="rId8" w:history="1">
        <w:r w:rsidR="00E07876" w:rsidRPr="00E07876">
          <w:rPr>
            <w:rStyle w:val="Hyperlink"/>
          </w:rPr>
          <w:t>https://linkedin.com/in/hossamzein</w:t>
        </w:r>
      </w:hyperlink>
    </w:p>
    <w:sectPr w:rsidR="00E07876">
      <w:headerReference w:type="default" r:id="rId9"/>
      <w:footerReference w:type="default" r:id="rId10"/>
      <w:pgSz w:w="12240" w:h="15840"/>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8B81" w14:textId="77777777" w:rsidR="00CC4EE9" w:rsidRDefault="00CC4EE9">
      <w:r>
        <w:separator/>
      </w:r>
    </w:p>
  </w:endnote>
  <w:endnote w:type="continuationSeparator" w:id="0">
    <w:p w14:paraId="0F93CC96" w14:textId="77777777" w:rsidR="00CC4EE9" w:rsidRDefault="00CC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945C" w14:textId="77777777" w:rsidR="005056AF" w:rsidRDefault="00000000">
    <w:pPr>
      <w:jc w:val="center"/>
    </w:pPr>
    <w:r>
      <w:rPr>
        <w:color w:val="595959"/>
        <w:sz w:val="16"/>
        <w:szCs w:val="16"/>
      </w:rPr>
      <w:t xml:space="preserve">Confidential — Prepared for the Egyptian Exchange (EGX)  |  Page </w:t>
    </w:r>
    <w:r>
      <w:rPr>
        <w:color w:val="595959"/>
        <w:sz w:val="16"/>
        <w:szCs w:val="16"/>
      </w:rPr>
      <w:fldChar w:fldCharType="begin"/>
    </w:r>
    <w:r>
      <w:rPr>
        <w:color w:val="595959"/>
        <w:sz w:val="16"/>
        <w:szCs w:val="16"/>
      </w:rPr>
      <w:instrText>PAGE</w:instrText>
    </w:r>
    <w:r>
      <w:rPr>
        <w:color w:val="595959"/>
        <w:sz w:val="16"/>
        <w:szCs w:val="16"/>
      </w:rPr>
      <w:fldChar w:fldCharType="separate"/>
    </w:r>
    <w:r w:rsidR="00C10D4E">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C10D4E">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CBCC" w14:textId="77777777" w:rsidR="00CC4EE9" w:rsidRDefault="00CC4EE9">
      <w:r>
        <w:separator/>
      </w:r>
    </w:p>
  </w:footnote>
  <w:footnote w:type="continuationSeparator" w:id="0">
    <w:p w14:paraId="61E67BD2" w14:textId="77777777" w:rsidR="00CC4EE9" w:rsidRDefault="00CC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AC5C" w14:textId="77777777" w:rsidR="005056AF" w:rsidRDefault="00000000">
    <w:pPr>
      <w:pBdr>
        <w:bottom w:val="single" w:sz="4" w:space="4" w:color="BFBFBF"/>
      </w:pBdr>
      <w:jc w:val="right"/>
    </w:pPr>
    <w:r>
      <w:rPr>
        <w:i/>
        <w:iCs/>
        <w:color w:val="595959"/>
        <w:sz w:val="16"/>
        <w:szCs w:val="16"/>
      </w:rPr>
      <w:t>Business Case — EGX Compliance Intelligence Platform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32CB7"/>
    <w:multiLevelType w:val="hybridMultilevel"/>
    <w:tmpl w:val="FD72CD0A"/>
    <w:lvl w:ilvl="0" w:tplc="7C346DF2">
      <w:start w:val="1"/>
      <w:numFmt w:val="bullet"/>
      <w:lvlText w:val="●"/>
      <w:lvlJc w:val="left"/>
      <w:pPr>
        <w:ind w:left="720" w:hanging="360"/>
      </w:pPr>
    </w:lvl>
    <w:lvl w:ilvl="1" w:tplc="5CD6D84E">
      <w:start w:val="1"/>
      <w:numFmt w:val="bullet"/>
      <w:lvlText w:val="○"/>
      <w:lvlJc w:val="left"/>
      <w:pPr>
        <w:ind w:left="1440" w:hanging="360"/>
      </w:pPr>
    </w:lvl>
    <w:lvl w:ilvl="2" w:tplc="B3CE834A">
      <w:start w:val="1"/>
      <w:numFmt w:val="bullet"/>
      <w:lvlText w:val="■"/>
      <w:lvlJc w:val="left"/>
      <w:pPr>
        <w:ind w:left="2160" w:hanging="360"/>
      </w:pPr>
    </w:lvl>
    <w:lvl w:ilvl="3" w:tplc="4A9474E2">
      <w:start w:val="1"/>
      <w:numFmt w:val="bullet"/>
      <w:lvlText w:val="●"/>
      <w:lvlJc w:val="left"/>
      <w:pPr>
        <w:ind w:left="2880" w:hanging="360"/>
      </w:pPr>
    </w:lvl>
    <w:lvl w:ilvl="4" w:tplc="7DFCC2C8">
      <w:start w:val="1"/>
      <w:numFmt w:val="bullet"/>
      <w:lvlText w:val="○"/>
      <w:lvlJc w:val="left"/>
      <w:pPr>
        <w:ind w:left="3600" w:hanging="360"/>
      </w:pPr>
    </w:lvl>
    <w:lvl w:ilvl="5" w:tplc="2DDEE6A0">
      <w:start w:val="1"/>
      <w:numFmt w:val="bullet"/>
      <w:lvlText w:val="■"/>
      <w:lvlJc w:val="left"/>
      <w:pPr>
        <w:ind w:left="4320" w:hanging="360"/>
      </w:pPr>
    </w:lvl>
    <w:lvl w:ilvl="6" w:tplc="2256C832">
      <w:start w:val="1"/>
      <w:numFmt w:val="bullet"/>
      <w:lvlText w:val="●"/>
      <w:lvlJc w:val="left"/>
      <w:pPr>
        <w:ind w:left="5040" w:hanging="360"/>
      </w:pPr>
    </w:lvl>
    <w:lvl w:ilvl="7" w:tplc="B6683A6E">
      <w:start w:val="1"/>
      <w:numFmt w:val="bullet"/>
      <w:lvlText w:val="●"/>
      <w:lvlJc w:val="left"/>
      <w:pPr>
        <w:ind w:left="5760" w:hanging="360"/>
      </w:pPr>
    </w:lvl>
    <w:lvl w:ilvl="8" w:tplc="E22075DA">
      <w:start w:val="1"/>
      <w:numFmt w:val="bullet"/>
      <w:lvlText w:val="●"/>
      <w:lvlJc w:val="left"/>
      <w:pPr>
        <w:ind w:left="6480" w:hanging="360"/>
      </w:pPr>
    </w:lvl>
  </w:abstractNum>
  <w:abstractNum w:abstractNumId="1" w15:restartNumberingAfterBreak="0">
    <w:nsid w:val="6E5E62AC"/>
    <w:multiLevelType w:val="hybridMultilevel"/>
    <w:tmpl w:val="3FA28C34"/>
    <w:lvl w:ilvl="0" w:tplc="08F27240">
      <w:start w:val="1"/>
      <w:numFmt w:val="bullet"/>
      <w:lvlText w:val="•"/>
      <w:lvlJc w:val="left"/>
      <w:pPr>
        <w:ind w:left="420" w:hanging="260"/>
      </w:pPr>
    </w:lvl>
    <w:lvl w:ilvl="1" w:tplc="61648FF2">
      <w:start w:val="1"/>
      <w:numFmt w:val="bullet"/>
      <w:lvlText w:val="◦"/>
      <w:lvlJc w:val="left"/>
      <w:pPr>
        <w:ind w:left="820" w:hanging="260"/>
      </w:pPr>
    </w:lvl>
    <w:lvl w:ilvl="2" w:tplc="AA6EAEA6">
      <w:numFmt w:val="decimal"/>
      <w:lvlText w:val=""/>
      <w:lvlJc w:val="left"/>
    </w:lvl>
    <w:lvl w:ilvl="3" w:tplc="BF247E22">
      <w:numFmt w:val="decimal"/>
      <w:lvlText w:val=""/>
      <w:lvlJc w:val="left"/>
    </w:lvl>
    <w:lvl w:ilvl="4" w:tplc="4F501150">
      <w:numFmt w:val="decimal"/>
      <w:lvlText w:val=""/>
      <w:lvlJc w:val="left"/>
    </w:lvl>
    <w:lvl w:ilvl="5" w:tplc="9932987C">
      <w:numFmt w:val="decimal"/>
      <w:lvlText w:val=""/>
      <w:lvlJc w:val="left"/>
    </w:lvl>
    <w:lvl w:ilvl="6" w:tplc="7B32D218">
      <w:numFmt w:val="decimal"/>
      <w:lvlText w:val=""/>
      <w:lvlJc w:val="left"/>
    </w:lvl>
    <w:lvl w:ilvl="7" w:tplc="9D323370">
      <w:numFmt w:val="decimal"/>
      <w:lvlText w:val=""/>
      <w:lvlJc w:val="left"/>
    </w:lvl>
    <w:lvl w:ilvl="8" w:tplc="BAB43F7C">
      <w:numFmt w:val="decimal"/>
      <w:lvlText w:val=""/>
      <w:lvlJc w:val="left"/>
    </w:lvl>
  </w:abstractNum>
  <w:num w:numId="1" w16cid:durableId="1860855784">
    <w:abstractNumId w:val="0"/>
    <w:lvlOverride w:ilvl="0">
      <w:startOverride w:val="1"/>
    </w:lvlOverride>
  </w:num>
  <w:num w:numId="2" w16cid:durableId="8699994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AF"/>
    <w:rsid w:val="003B1A0C"/>
    <w:rsid w:val="005056AF"/>
    <w:rsid w:val="009A446A"/>
    <w:rsid w:val="00C10D4E"/>
    <w:rsid w:val="00CA0ACE"/>
    <w:rsid w:val="00CC4EE9"/>
    <w:rsid w:val="00E07876"/>
    <w:rsid w:val="00F30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4ACE"/>
  <w15:docId w15:val="{0285B5BE-5900-44FB-BC53-A5F961FC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C10D4E"/>
    <w:pPr>
      <w:spacing w:after="100"/>
    </w:pPr>
  </w:style>
  <w:style w:type="paragraph" w:styleId="TOC2">
    <w:name w:val="toc 2"/>
    <w:basedOn w:val="Normal"/>
    <w:next w:val="Normal"/>
    <w:autoRedefine/>
    <w:uiPriority w:val="39"/>
    <w:unhideWhenUsed/>
    <w:rsid w:val="00C10D4E"/>
    <w:pPr>
      <w:spacing w:after="100"/>
      <w:ind w:left="200"/>
    </w:pPr>
  </w:style>
  <w:style w:type="character" w:styleId="UnresolvedMention">
    <w:name w:val="Unresolved Mention"/>
    <w:basedOn w:val="DefaultParagraphFont"/>
    <w:uiPriority w:val="99"/>
    <w:semiHidden/>
    <w:unhideWhenUsed/>
    <w:rsid w:val="00E07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nkedin.com/in/hossamzein" TargetMode="External"/><Relationship Id="rId3" Type="http://schemas.openxmlformats.org/officeDocument/2006/relationships/settings" Target="settings.xml"/><Relationship Id="rId7" Type="http://schemas.openxmlformats.org/officeDocument/2006/relationships/hyperlink" Target="mailto:hossamzein@engine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1753</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Hossam A. Zein</cp:lastModifiedBy>
  <cp:revision>4</cp:revision>
  <dcterms:created xsi:type="dcterms:W3CDTF">2026-07-27T19:50:00Z</dcterms:created>
  <dcterms:modified xsi:type="dcterms:W3CDTF">2026-07-27T20:56:00Z</dcterms:modified>
</cp:coreProperties>
</file>